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20777" w14:textId="77777777" w:rsidR="008B7337" w:rsidRPr="006422A7" w:rsidRDefault="008B7337" w:rsidP="008B7337">
      <w:pPr>
        <w:spacing w:after="120"/>
        <w:contextualSpacing/>
        <w:rPr>
          <w:rFonts w:ascii="Arial" w:hAnsi="Arial"/>
          <w:szCs w:val="8"/>
        </w:rPr>
      </w:pPr>
      <w:bookmarkStart w:id="0" w:name="_Hlk141353625"/>
    </w:p>
    <w:p w14:paraId="6AA5557E" w14:textId="0668D671" w:rsidR="008B7337" w:rsidRPr="006422A7" w:rsidRDefault="008B7337" w:rsidP="008B7337">
      <w:pPr>
        <w:spacing w:after="120"/>
        <w:contextualSpacing/>
        <w:rPr>
          <w:rFonts w:ascii="Arial" w:hAnsi="Arial"/>
          <w:szCs w:val="8"/>
        </w:rPr>
      </w:pPr>
    </w:p>
    <w:p w14:paraId="63CDA6F3" w14:textId="77777777" w:rsidR="008B7337" w:rsidRPr="006422A7" w:rsidRDefault="008B7337" w:rsidP="008B7337">
      <w:pPr>
        <w:spacing w:after="120"/>
        <w:contextualSpacing/>
        <w:rPr>
          <w:rFonts w:ascii="Arial" w:hAnsi="Arial"/>
          <w:szCs w:val="8"/>
        </w:rPr>
      </w:pPr>
    </w:p>
    <w:p w14:paraId="638AB2DC" w14:textId="77777777" w:rsidR="008B7337" w:rsidRPr="006422A7" w:rsidRDefault="008B7337" w:rsidP="008B7337">
      <w:pPr>
        <w:spacing w:after="120"/>
        <w:contextualSpacing/>
        <w:rPr>
          <w:rFonts w:ascii="Arial" w:hAnsi="Arial"/>
          <w:szCs w:val="8"/>
        </w:rPr>
      </w:pPr>
    </w:p>
    <w:p w14:paraId="5AFC820E" w14:textId="77777777" w:rsidR="008B7337" w:rsidRPr="006422A7" w:rsidRDefault="008B7337" w:rsidP="008B7337">
      <w:pPr>
        <w:spacing w:after="120"/>
        <w:contextualSpacing/>
        <w:rPr>
          <w:rFonts w:ascii="Arial" w:hAnsi="Arial"/>
          <w:szCs w:val="8"/>
        </w:rPr>
      </w:pPr>
    </w:p>
    <w:p w14:paraId="24162EA6" w14:textId="77777777" w:rsidR="008B7337" w:rsidRPr="006422A7" w:rsidRDefault="008B7337" w:rsidP="008B7337">
      <w:pPr>
        <w:spacing w:after="120"/>
        <w:contextualSpacing/>
        <w:rPr>
          <w:rFonts w:ascii="Arial" w:hAnsi="Arial"/>
          <w:szCs w:val="8"/>
        </w:rPr>
      </w:pPr>
    </w:p>
    <w:p w14:paraId="02086ECD" w14:textId="77777777" w:rsidR="008B7337" w:rsidRPr="006422A7" w:rsidRDefault="008B7337" w:rsidP="008B7337">
      <w:pPr>
        <w:spacing w:after="120"/>
        <w:contextualSpacing/>
        <w:rPr>
          <w:rFonts w:ascii="Arial" w:hAnsi="Arial"/>
          <w:szCs w:val="8"/>
        </w:rPr>
      </w:pPr>
    </w:p>
    <w:p w14:paraId="188F4F72" w14:textId="77777777" w:rsidR="008B7337" w:rsidRPr="006422A7" w:rsidRDefault="008B7337" w:rsidP="008B7337">
      <w:pPr>
        <w:spacing w:after="120"/>
        <w:contextualSpacing/>
        <w:rPr>
          <w:rFonts w:ascii="Arial" w:hAnsi="Arial"/>
          <w:szCs w:val="8"/>
        </w:rPr>
      </w:pPr>
    </w:p>
    <w:p w14:paraId="4CE778E5" w14:textId="77777777" w:rsidR="008B7337" w:rsidRPr="006422A7" w:rsidRDefault="008B7337" w:rsidP="008B7337">
      <w:pPr>
        <w:spacing w:after="120"/>
        <w:contextualSpacing/>
        <w:rPr>
          <w:rFonts w:ascii="Arial" w:hAnsi="Arial"/>
          <w:szCs w:val="8"/>
        </w:rPr>
      </w:pPr>
    </w:p>
    <w:p w14:paraId="6715C7AD" w14:textId="77777777" w:rsidR="008B7337" w:rsidRPr="006422A7" w:rsidRDefault="008B7337" w:rsidP="008B7337">
      <w:pPr>
        <w:spacing w:after="120"/>
        <w:contextualSpacing/>
        <w:rPr>
          <w:rFonts w:ascii="Arial" w:hAnsi="Arial"/>
          <w:szCs w:val="8"/>
        </w:rPr>
      </w:pPr>
    </w:p>
    <w:p w14:paraId="499A138F" w14:textId="77777777" w:rsidR="008B7337" w:rsidRPr="006422A7" w:rsidRDefault="008B7337" w:rsidP="008B7337">
      <w:pPr>
        <w:spacing w:after="120"/>
        <w:contextualSpacing/>
        <w:rPr>
          <w:rFonts w:ascii="Arial" w:hAnsi="Arial"/>
          <w:szCs w:val="8"/>
        </w:rPr>
      </w:pPr>
    </w:p>
    <w:p w14:paraId="36ED3B61" w14:textId="77777777" w:rsidR="008B7337" w:rsidRPr="006422A7" w:rsidRDefault="008B7337" w:rsidP="008B7337">
      <w:pPr>
        <w:spacing w:after="120"/>
        <w:contextualSpacing/>
        <w:rPr>
          <w:rFonts w:ascii="Arial" w:hAnsi="Arial"/>
          <w:szCs w:val="8"/>
        </w:rPr>
      </w:pPr>
    </w:p>
    <w:p w14:paraId="460BB754" w14:textId="0E1BB491" w:rsidR="008B7337" w:rsidRPr="006422A7" w:rsidRDefault="005430B7" w:rsidP="008B7337">
      <w:pPr>
        <w:keepNext/>
        <w:spacing w:before="240" w:line="216" w:lineRule="auto"/>
        <w:outlineLvl w:val="0"/>
        <w:rPr>
          <w:rFonts w:ascii="Times New Roman" w:eastAsia="Arial" w:hAnsi="Times New Roman"/>
          <w:bCs/>
          <w:sz w:val="80"/>
          <w:szCs w:val="80"/>
        </w:rPr>
      </w:pPr>
      <w:r>
        <w:rPr>
          <w:rFonts w:ascii="Times New Roman" w:eastAsia="Arial" w:hAnsi="Times New Roman"/>
          <w:bCs/>
          <w:sz w:val="80"/>
          <w:szCs w:val="80"/>
        </w:rPr>
        <w:t xml:space="preserve">Candidate </w:t>
      </w:r>
      <w:r w:rsidR="00690C25">
        <w:rPr>
          <w:rFonts w:ascii="Times New Roman" w:eastAsia="Arial" w:hAnsi="Times New Roman"/>
          <w:bCs/>
          <w:sz w:val="80"/>
          <w:szCs w:val="80"/>
        </w:rPr>
        <w:t xml:space="preserve">Information </w:t>
      </w:r>
      <w:r>
        <w:rPr>
          <w:rFonts w:ascii="Times New Roman" w:eastAsia="Arial" w:hAnsi="Times New Roman"/>
          <w:bCs/>
          <w:sz w:val="80"/>
          <w:szCs w:val="80"/>
        </w:rPr>
        <w:t>Pack</w:t>
      </w:r>
    </w:p>
    <w:p w14:paraId="4A84E91B" w14:textId="77777777" w:rsidR="008B7337" w:rsidRPr="006422A7" w:rsidRDefault="008B7337" w:rsidP="008B7337">
      <w:pPr>
        <w:spacing w:line="240" w:lineRule="auto"/>
        <w:contextualSpacing/>
        <w:outlineLvl w:val="2"/>
        <w:rPr>
          <w:rFonts w:ascii="Arial" w:hAnsi="Arial"/>
          <w:bCs/>
          <w:color w:val="4A0080"/>
          <w:sz w:val="34"/>
          <w:szCs w:val="34"/>
        </w:rPr>
      </w:pPr>
    </w:p>
    <w:p w14:paraId="67EF979C" w14:textId="2F4507FA" w:rsidR="008B7337" w:rsidRPr="006422A7" w:rsidRDefault="008B7337" w:rsidP="008B7337">
      <w:pPr>
        <w:spacing w:line="240" w:lineRule="auto"/>
        <w:contextualSpacing/>
        <w:outlineLvl w:val="2"/>
        <w:rPr>
          <w:rFonts w:ascii="Arial" w:hAnsi="Arial"/>
          <w:b/>
          <w:color w:val="4A0080"/>
          <w:sz w:val="34"/>
          <w:szCs w:val="34"/>
        </w:rPr>
      </w:pPr>
      <w:r w:rsidRPr="006422A7">
        <w:rPr>
          <w:rFonts w:ascii="Arial" w:hAnsi="Arial"/>
          <w:bCs/>
          <w:color w:val="0A2FB5"/>
          <w:sz w:val="34"/>
          <w:szCs w:val="34"/>
        </w:rPr>
        <w:br/>
      </w:r>
      <w:r w:rsidRPr="006422A7">
        <w:rPr>
          <w:rFonts w:ascii="Arial" w:hAnsi="Arial"/>
          <w:bCs/>
          <w:color w:val="0A2FB5"/>
          <w:sz w:val="34"/>
          <w:szCs w:val="34"/>
        </w:rPr>
        <w:br/>
      </w:r>
      <w:r w:rsidR="00307B1A">
        <w:rPr>
          <w:rFonts w:ascii="Arial" w:hAnsi="Arial"/>
          <w:b/>
          <w:color w:val="4A0080"/>
          <w:sz w:val="34"/>
          <w:szCs w:val="34"/>
        </w:rPr>
        <w:t>British Business Bank</w:t>
      </w:r>
      <w:r w:rsidRPr="006422A7">
        <w:rPr>
          <w:rFonts w:ascii="Arial" w:hAnsi="Arial"/>
          <w:b/>
          <w:color w:val="4A0080"/>
          <w:sz w:val="34"/>
          <w:szCs w:val="34"/>
        </w:rPr>
        <w:t xml:space="preserve"> plc</w:t>
      </w:r>
    </w:p>
    <w:p w14:paraId="6D981D9A" w14:textId="605B04F2" w:rsidR="008B7337" w:rsidRPr="006422A7" w:rsidRDefault="008B7337" w:rsidP="008B7337">
      <w:pPr>
        <w:spacing w:line="240" w:lineRule="auto"/>
        <w:contextualSpacing/>
        <w:outlineLvl w:val="2"/>
        <w:rPr>
          <w:rFonts w:ascii="Arial" w:hAnsi="Arial"/>
          <w:bCs/>
          <w:color w:val="4A0080"/>
          <w:sz w:val="34"/>
          <w:szCs w:val="34"/>
        </w:rPr>
      </w:pPr>
      <w:r>
        <w:rPr>
          <w:rFonts w:ascii="Arial" w:hAnsi="Arial"/>
          <w:bCs/>
          <w:color w:val="4A0080"/>
          <w:sz w:val="34"/>
          <w:szCs w:val="34"/>
        </w:rPr>
        <w:t>Non-Executive Director</w:t>
      </w:r>
      <w:r w:rsidRPr="006422A7">
        <w:rPr>
          <w:rFonts w:ascii="Arial" w:hAnsi="Arial"/>
          <w:bCs/>
          <w:color w:val="4A0080"/>
          <w:sz w:val="34"/>
          <w:szCs w:val="34"/>
        </w:rPr>
        <w:t xml:space="preserve"> </w:t>
      </w:r>
      <w:r w:rsidR="00307B1A">
        <w:rPr>
          <w:rFonts w:ascii="Arial" w:hAnsi="Arial"/>
          <w:bCs/>
          <w:color w:val="4A0080"/>
          <w:sz w:val="34"/>
          <w:szCs w:val="34"/>
        </w:rPr>
        <w:t xml:space="preserve">and </w:t>
      </w:r>
      <w:r w:rsidR="00E82316">
        <w:rPr>
          <w:rFonts w:ascii="Arial" w:hAnsi="Arial"/>
          <w:bCs/>
          <w:color w:val="4A0080"/>
          <w:sz w:val="34"/>
          <w:szCs w:val="34"/>
        </w:rPr>
        <w:t>Chair of Remuneration Committee</w:t>
      </w:r>
      <w:r w:rsidR="0068381C">
        <w:rPr>
          <w:rFonts w:ascii="Arial" w:hAnsi="Arial"/>
          <w:bCs/>
          <w:color w:val="4A0080"/>
          <w:sz w:val="34"/>
          <w:szCs w:val="34"/>
        </w:rPr>
        <w:t xml:space="preserve"> </w:t>
      </w:r>
      <w:r w:rsidR="00307B1A">
        <w:rPr>
          <w:rFonts w:ascii="Arial" w:hAnsi="Arial"/>
          <w:bCs/>
          <w:color w:val="4A0080"/>
          <w:sz w:val="34"/>
          <w:szCs w:val="34"/>
        </w:rPr>
        <w:t xml:space="preserve"> </w:t>
      </w:r>
    </w:p>
    <w:p w14:paraId="7FB4864A" w14:textId="77777777" w:rsidR="008B7337" w:rsidRPr="006422A7" w:rsidRDefault="008B7337" w:rsidP="008B7337">
      <w:pPr>
        <w:spacing w:after="120"/>
        <w:contextualSpacing/>
        <w:rPr>
          <w:rFonts w:ascii="Arial" w:hAnsi="Arial"/>
          <w:szCs w:val="8"/>
        </w:rPr>
      </w:pPr>
    </w:p>
    <w:p w14:paraId="4B90D412" w14:textId="77777777" w:rsidR="008B7337" w:rsidRPr="006422A7" w:rsidRDefault="008B7337" w:rsidP="008B7337">
      <w:pPr>
        <w:spacing w:after="120"/>
        <w:contextualSpacing/>
        <w:rPr>
          <w:rFonts w:ascii="Arial" w:hAnsi="Arial"/>
          <w:szCs w:val="8"/>
        </w:rPr>
      </w:pPr>
    </w:p>
    <w:p w14:paraId="0E2494E1" w14:textId="77777777" w:rsidR="008B7337" w:rsidRPr="006422A7" w:rsidRDefault="008B7337" w:rsidP="008B7337">
      <w:pPr>
        <w:spacing w:after="120"/>
        <w:contextualSpacing/>
        <w:rPr>
          <w:rFonts w:ascii="Arial" w:hAnsi="Arial"/>
          <w:szCs w:val="8"/>
        </w:rPr>
      </w:pPr>
    </w:p>
    <w:p w14:paraId="2C702327" w14:textId="77777777" w:rsidR="008B7337" w:rsidRPr="006422A7" w:rsidRDefault="008B7337" w:rsidP="008B7337">
      <w:pPr>
        <w:spacing w:after="120"/>
        <w:contextualSpacing/>
        <w:rPr>
          <w:rFonts w:ascii="Arial" w:hAnsi="Arial"/>
          <w:szCs w:val="8"/>
        </w:rPr>
      </w:pPr>
    </w:p>
    <w:p w14:paraId="65015779" w14:textId="77777777" w:rsidR="008B7337" w:rsidRPr="006422A7" w:rsidRDefault="008B7337" w:rsidP="008B7337">
      <w:pPr>
        <w:spacing w:after="120"/>
        <w:contextualSpacing/>
        <w:rPr>
          <w:rFonts w:ascii="Arial" w:hAnsi="Arial"/>
          <w:szCs w:val="8"/>
        </w:rPr>
      </w:pPr>
    </w:p>
    <w:p w14:paraId="7F85A1A8" w14:textId="77777777" w:rsidR="008B7337" w:rsidRPr="006422A7" w:rsidRDefault="008B7337" w:rsidP="008B7337">
      <w:pPr>
        <w:spacing w:after="120"/>
        <w:contextualSpacing/>
        <w:rPr>
          <w:rFonts w:ascii="Arial" w:hAnsi="Arial"/>
          <w:szCs w:val="8"/>
        </w:rPr>
      </w:pPr>
    </w:p>
    <w:p w14:paraId="4497AF07" w14:textId="77777777" w:rsidR="008B7337" w:rsidRPr="006422A7" w:rsidRDefault="008B7337" w:rsidP="008B7337">
      <w:pPr>
        <w:spacing w:after="120"/>
        <w:contextualSpacing/>
        <w:rPr>
          <w:rFonts w:ascii="Arial" w:hAnsi="Arial"/>
          <w:szCs w:val="8"/>
        </w:rPr>
      </w:pPr>
    </w:p>
    <w:p w14:paraId="0A228945" w14:textId="77777777" w:rsidR="008B7337" w:rsidRPr="006422A7" w:rsidRDefault="008B7337" w:rsidP="008B7337">
      <w:pPr>
        <w:spacing w:after="120"/>
        <w:contextualSpacing/>
        <w:rPr>
          <w:rFonts w:ascii="Arial" w:hAnsi="Arial"/>
          <w:szCs w:val="8"/>
        </w:rPr>
      </w:pPr>
    </w:p>
    <w:p w14:paraId="69F8DADB" w14:textId="77777777" w:rsidR="008B7337" w:rsidRPr="006422A7" w:rsidRDefault="008B7337" w:rsidP="008B7337">
      <w:pPr>
        <w:spacing w:after="120"/>
        <w:contextualSpacing/>
        <w:rPr>
          <w:rFonts w:ascii="Arial" w:hAnsi="Arial"/>
          <w:szCs w:val="8"/>
        </w:rPr>
      </w:pPr>
    </w:p>
    <w:p w14:paraId="0AF0E5A5" w14:textId="77777777" w:rsidR="008B7337" w:rsidRPr="006422A7" w:rsidRDefault="008B7337" w:rsidP="008B7337">
      <w:pPr>
        <w:spacing w:after="120"/>
        <w:contextualSpacing/>
        <w:rPr>
          <w:rFonts w:ascii="Arial" w:hAnsi="Arial"/>
          <w:szCs w:val="8"/>
        </w:rPr>
      </w:pPr>
    </w:p>
    <w:p w14:paraId="56A69580" w14:textId="77777777" w:rsidR="008B7337" w:rsidRPr="006422A7" w:rsidRDefault="008B7337" w:rsidP="008B7337">
      <w:pPr>
        <w:spacing w:after="120"/>
        <w:contextualSpacing/>
        <w:rPr>
          <w:rFonts w:ascii="Arial" w:hAnsi="Arial"/>
          <w:szCs w:val="8"/>
        </w:rPr>
      </w:pPr>
    </w:p>
    <w:p w14:paraId="4FC22FEF" w14:textId="77777777" w:rsidR="008B7337" w:rsidRPr="006422A7" w:rsidRDefault="008B7337" w:rsidP="008B7337">
      <w:pPr>
        <w:spacing w:after="120"/>
        <w:contextualSpacing/>
        <w:rPr>
          <w:rFonts w:ascii="Arial" w:hAnsi="Arial"/>
          <w:szCs w:val="8"/>
        </w:rPr>
      </w:pPr>
    </w:p>
    <w:p w14:paraId="67B5B4E5" w14:textId="77777777" w:rsidR="008B7337" w:rsidRPr="006422A7" w:rsidRDefault="008B7337" w:rsidP="008B7337">
      <w:pPr>
        <w:spacing w:after="120"/>
        <w:contextualSpacing/>
        <w:rPr>
          <w:rFonts w:ascii="Arial" w:hAnsi="Arial"/>
          <w:szCs w:val="8"/>
        </w:rPr>
      </w:pPr>
    </w:p>
    <w:p w14:paraId="40E9A390" w14:textId="77777777" w:rsidR="008B7337" w:rsidRPr="006422A7" w:rsidRDefault="008B7337" w:rsidP="008B7337">
      <w:pPr>
        <w:rPr>
          <w:rFonts w:ascii="Arial" w:hAnsi="Arial"/>
        </w:rPr>
        <w:sectPr w:rsidR="008B7337" w:rsidRPr="006422A7" w:rsidSect="008B7337">
          <w:headerReference w:type="even" r:id="rId15"/>
          <w:headerReference w:type="default" r:id="rId16"/>
          <w:footerReference w:type="even" r:id="rId17"/>
          <w:footerReference w:type="default" r:id="rId18"/>
          <w:headerReference w:type="first" r:id="rId19"/>
          <w:footerReference w:type="first" r:id="rId20"/>
          <w:type w:val="continuous"/>
          <w:pgSz w:w="11906" w:h="16838" w:code="1"/>
          <w:pgMar w:top="2552" w:right="907" w:bottom="1418" w:left="907" w:header="709" w:footer="567" w:gutter="0"/>
          <w:cols w:space="720"/>
          <w:docGrid w:linePitch="326"/>
        </w:sectPr>
      </w:pPr>
    </w:p>
    <w:p w14:paraId="3DC4171E" w14:textId="4BE5FD32" w:rsidR="005430B7" w:rsidRDefault="005430B7" w:rsidP="005430B7">
      <w:pPr>
        <w:keepNext/>
        <w:spacing w:before="240" w:line="216" w:lineRule="auto"/>
        <w:outlineLvl w:val="1"/>
        <w:rPr>
          <w:rFonts w:ascii="Arial" w:eastAsia="Arial" w:hAnsi="Arial"/>
          <w:b/>
          <w:bCs/>
          <w:iCs/>
          <w:color w:val="4A0080"/>
          <w:sz w:val="28"/>
          <w:szCs w:val="28"/>
        </w:rPr>
      </w:pPr>
      <w:r>
        <w:rPr>
          <w:rFonts w:ascii="Arial" w:eastAsia="Arial" w:hAnsi="Arial"/>
          <w:b/>
          <w:bCs/>
          <w:iCs/>
          <w:color w:val="4A0080"/>
          <w:sz w:val="28"/>
          <w:szCs w:val="28"/>
        </w:rPr>
        <w:lastRenderedPageBreak/>
        <w:t>Contents</w:t>
      </w:r>
    </w:p>
    <w:p w14:paraId="129B7819" w14:textId="77777777" w:rsidR="005430B7" w:rsidRDefault="005430B7" w:rsidP="005430B7">
      <w:pPr>
        <w:spacing w:line="480" w:lineRule="auto"/>
        <w:rPr>
          <w:szCs w:val="22"/>
        </w:rPr>
      </w:pPr>
    </w:p>
    <w:p w14:paraId="3FB2E546" w14:textId="7CCFC5E4" w:rsidR="005430B7" w:rsidRDefault="005430B7" w:rsidP="005430B7">
      <w:pPr>
        <w:spacing w:line="480" w:lineRule="auto"/>
      </w:pPr>
      <w:r w:rsidRPr="003F0028">
        <w:t xml:space="preserve">Introduction to the </w:t>
      </w:r>
      <w:r w:rsidR="003F0028" w:rsidRPr="003F0028">
        <w:t>British Business Bank</w:t>
      </w:r>
    </w:p>
    <w:p w14:paraId="662763AD" w14:textId="6EF4A76B" w:rsidR="00690C25" w:rsidRPr="003F0028" w:rsidRDefault="00690C25" w:rsidP="005430B7">
      <w:pPr>
        <w:spacing w:line="480" w:lineRule="auto"/>
      </w:pPr>
      <w:r>
        <w:t xml:space="preserve">The Board </w:t>
      </w:r>
    </w:p>
    <w:p w14:paraId="4D127D54" w14:textId="77777777" w:rsidR="005430B7" w:rsidRPr="003F0028" w:rsidRDefault="005430B7" w:rsidP="005430B7">
      <w:pPr>
        <w:spacing w:line="480" w:lineRule="auto"/>
      </w:pPr>
      <w:r w:rsidRPr="003F0028">
        <w:t>The Role</w:t>
      </w:r>
    </w:p>
    <w:p w14:paraId="595EE39E" w14:textId="77777777" w:rsidR="005430B7" w:rsidRPr="003F0028" w:rsidRDefault="005430B7" w:rsidP="005430B7">
      <w:pPr>
        <w:spacing w:line="480" w:lineRule="auto"/>
      </w:pPr>
      <w:r w:rsidRPr="003F0028">
        <w:t>Candidate Profile</w:t>
      </w:r>
    </w:p>
    <w:p w14:paraId="284F1804" w14:textId="77777777" w:rsidR="005430B7" w:rsidRPr="003F0028" w:rsidRDefault="005430B7" w:rsidP="005430B7">
      <w:pPr>
        <w:spacing w:line="480" w:lineRule="auto"/>
      </w:pPr>
      <w:r w:rsidRPr="003F0028">
        <w:t>The Selection and Recruitment Process</w:t>
      </w:r>
    </w:p>
    <w:p w14:paraId="7D590F57" w14:textId="77777777" w:rsidR="005430B7" w:rsidRPr="003F0028" w:rsidRDefault="005430B7" w:rsidP="005430B7">
      <w:pPr>
        <w:spacing w:line="480" w:lineRule="auto"/>
      </w:pPr>
      <w:r w:rsidRPr="003F0028">
        <w:t>How to Apply</w:t>
      </w:r>
    </w:p>
    <w:p w14:paraId="5CAE7E28" w14:textId="77777777" w:rsidR="005430B7" w:rsidRPr="003F0028" w:rsidRDefault="005430B7" w:rsidP="005430B7">
      <w:pPr>
        <w:spacing w:line="480" w:lineRule="auto"/>
      </w:pPr>
      <w:r w:rsidRPr="003F0028">
        <w:t>Further Information</w:t>
      </w:r>
    </w:p>
    <w:p w14:paraId="2D2AA09F" w14:textId="77777777" w:rsidR="005430B7" w:rsidRPr="003F0028" w:rsidRDefault="005430B7" w:rsidP="005430B7">
      <w:pPr>
        <w:spacing w:line="480" w:lineRule="auto"/>
      </w:pPr>
      <w:r w:rsidRPr="003F0028">
        <w:t>Appendix I: Board Biographies</w:t>
      </w:r>
    </w:p>
    <w:p w14:paraId="3358712F" w14:textId="54EB4305" w:rsidR="005430B7" w:rsidRPr="003F0028" w:rsidRDefault="005430B7" w:rsidP="005430B7">
      <w:pPr>
        <w:spacing w:line="480" w:lineRule="auto"/>
      </w:pPr>
      <w:r w:rsidRPr="003F0028">
        <w:t>Appendix II: The Seven Principles of Public Life</w:t>
      </w:r>
    </w:p>
    <w:p w14:paraId="24B2C23A" w14:textId="77777777" w:rsidR="005430B7" w:rsidRDefault="005430B7">
      <w:pPr>
        <w:spacing w:line="240" w:lineRule="auto"/>
        <w:rPr>
          <w:rFonts w:ascii="Arial" w:eastAsia="Arial" w:hAnsi="Arial"/>
          <w:b/>
          <w:bCs/>
          <w:iCs/>
          <w:color w:val="4A0080"/>
          <w:sz w:val="28"/>
          <w:szCs w:val="28"/>
        </w:rPr>
      </w:pPr>
      <w:r>
        <w:rPr>
          <w:rFonts w:ascii="Arial" w:eastAsia="Arial" w:hAnsi="Arial"/>
          <w:b/>
          <w:bCs/>
          <w:iCs/>
          <w:color w:val="4A0080"/>
          <w:sz w:val="28"/>
          <w:szCs w:val="28"/>
        </w:rPr>
        <w:br w:type="page"/>
      </w:r>
    </w:p>
    <w:p w14:paraId="60703050" w14:textId="77777777" w:rsidR="000C661E" w:rsidRPr="00BB635B" w:rsidRDefault="000C661E" w:rsidP="000C661E">
      <w:pPr>
        <w:pStyle w:val="NoSpacing"/>
        <w:rPr>
          <w:rFonts w:ascii="Arial" w:eastAsia="Arial" w:hAnsi="Arial"/>
          <w:b/>
          <w:bCs/>
          <w:iCs/>
          <w:color w:val="4A0080"/>
          <w:sz w:val="28"/>
          <w:szCs w:val="28"/>
        </w:rPr>
      </w:pPr>
      <w:r w:rsidRPr="00BB635B">
        <w:rPr>
          <w:rFonts w:ascii="Arial" w:eastAsia="Arial" w:hAnsi="Arial"/>
          <w:b/>
          <w:bCs/>
          <w:iCs/>
          <w:color w:val="4A0080"/>
          <w:sz w:val="28"/>
          <w:szCs w:val="28"/>
        </w:rPr>
        <w:lastRenderedPageBreak/>
        <w:t>Introduction to British Business Bank</w:t>
      </w:r>
    </w:p>
    <w:p w14:paraId="169BE4C2" w14:textId="77777777" w:rsidR="00BF183F" w:rsidRPr="00BF183F" w:rsidRDefault="00BF183F" w:rsidP="00BF183F">
      <w:pPr>
        <w:pStyle w:val="NoSpacing"/>
        <w:jc w:val="both"/>
        <w:rPr>
          <w:b/>
          <w:bCs/>
          <w:sz w:val="20"/>
          <w:szCs w:val="20"/>
        </w:rPr>
      </w:pPr>
    </w:p>
    <w:p w14:paraId="133BBDAF" w14:textId="098AA240" w:rsidR="0068381C" w:rsidRDefault="0068381C" w:rsidP="0068381C">
      <w:pPr>
        <w:pStyle w:val="NoSpacing"/>
        <w:jc w:val="both"/>
        <w:rPr>
          <w:sz w:val="20"/>
          <w:szCs w:val="20"/>
        </w:rPr>
      </w:pPr>
      <w:r w:rsidRPr="0068381C">
        <w:rPr>
          <w:sz w:val="20"/>
          <w:szCs w:val="20"/>
        </w:rPr>
        <w:t>The British Business Bank is the UK’s economic development bank, with a commercial and mandated arm. It is a progressive and dynamic government-owned economic development bank, dedicated to making finance markets work better for smaller businesses. Independently managed, its remit is to design, deliver and efficiently manage UK-wide smaller business access to finance interventions for the UK government, involving both investment and banking programmes. The Bank’s core debt and equity programmes now support over £17.4bn of finance to almost 64,000 smaller businesses, across the whole spectrum of developmental state, from start-ups and scale-ups to viable but underfunded.</w:t>
      </w:r>
    </w:p>
    <w:p w14:paraId="74F0596A" w14:textId="77777777" w:rsidR="00690C25" w:rsidRPr="0068381C" w:rsidRDefault="00690C25" w:rsidP="0068381C">
      <w:pPr>
        <w:pStyle w:val="NoSpacing"/>
        <w:jc w:val="both"/>
        <w:rPr>
          <w:sz w:val="20"/>
          <w:szCs w:val="20"/>
        </w:rPr>
      </w:pPr>
    </w:p>
    <w:p w14:paraId="75E8A58F" w14:textId="77777777" w:rsidR="0068381C" w:rsidRPr="0068381C" w:rsidRDefault="0068381C" w:rsidP="0068381C">
      <w:pPr>
        <w:pStyle w:val="NoSpacing"/>
        <w:jc w:val="both"/>
        <w:rPr>
          <w:sz w:val="20"/>
          <w:szCs w:val="20"/>
        </w:rPr>
      </w:pPr>
      <w:r w:rsidRPr="0068381C">
        <w:rPr>
          <w:sz w:val="20"/>
          <w:szCs w:val="20"/>
        </w:rPr>
        <w:t>As well as increasing the supply and diversity of finance for UK smaller businesses through its programmes, the Bank works to raise awareness of their broader finance options. The British Business Bank</w:t>
      </w:r>
      <w:r w:rsidRPr="0068381C">
        <w:rPr>
          <w:b/>
          <w:bCs/>
          <w:sz w:val="20"/>
          <w:szCs w:val="20"/>
        </w:rPr>
        <w:t xml:space="preserve"> </w:t>
      </w:r>
      <w:hyperlink r:id="rId21" w:history="1">
        <w:r w:rsidRPr="0068381C">
          <w:rPr>
            <w:rStyle w:val="Hyperlink"/>
            <w:b/>
            <w:bCs/>
            <w:sz w:val="20"/>
            <w:szCs w:val="20"/>
          </w:rPr>
          <w:t>Finance Hub</w:t>
        </w:r>
      </w:hyperlink>
      <w:r w:rsidRPr="0068381C">
        <w:rPr>
          <w:sz w:val="20"/>
          <w:szCs w:val="20"/>
        </w:rPr>
        <w:t xml:space="preserve"> provides independent and impartial information to businesses about finance options, featuring short films, expert guides, checklists and articles from finance providers to help make their application a success. </w:t>
      </w:r>
    </w:p>
    <w:p w14:paraId="188A9D36" w14:textId="77777777" w:rsidR="00BF183F" w:rsidRDefault="00BF183F" w:rsidP="00874519">
      <w:pPr>
        <w:pStyle w:val="NoSpacing"/>
        <w:jc w:val="both"/>
        <w:rPr>
          <w:sz w:val="20"/>
          <w:szCs w:val="20"/>
        </w:rPr>
      </w:pPr>
    </w:p>
    <w:p w14:paraId="6A216BA0" w14:textId="77777777" w:rsidR="000C661E" w:rsidRPr="000C661E" w:rsidRDefault="000C661E" w:rsidP="00874519">
      <w:pPr>
        <w:pStyle w:val="NoSpacing"/>
        <w:jc w:val="both"/>
        <w:rPr>
          <w:sz w:val="20"/>
          <w:szCs w:val="20"/>
        </w:rPr>
      </w:pPr>
    </w:p>
    <w:p w14:paraId="1F2AC58C" w14:textId="77777777" w:rsidR="000C661E" w:rsidRPr="000C661E" w:rsidRDefault="000C661E" w:rsidP="00874519">
      <w:pPr>
        <w:pStyle w:val="NoSpacing"/>
        <w:jc w:val="both"/>
        <w:rPr>
          <w:b/>
          <w:bCs/>
          <w:sz w:val="20"/>
          <w:szCs w:val="20"/>
        </w:rPr>
      </w:pPr>
      <w:r w:rsidRPr="000C661E">
        <w:rPr>
          <w:b/>
          <w:bCs/>
          <w:sz w:val="20"/>
          <w:szCs w:val="20"/>
        </w:rPr>
        <w:t>Mission and objectives</w:t>
      </w:r>
    </w:p>
    <w:p w14:paraId="46E95F54" w14:textId="77777777" w:rsidR="000C661E" w:rsidRPr="000C661E" w:rsidRDefault="000C661E" w:rsidP="00874519">
      <w:pPr>
        <w:pStyle w:val="NoSpacing"/>
        <w:jc w:val="both"/>
        <w:rPr>
          <w:b/>
          <w:bCs/>
          <w:sz w:val="20"/>
          <w:szCs w:val="20"/>
        </w:rPr>
      </w:pPr>
    </w:p>
    <w:p w14:paraId="01FB00B2" w14:textId="77777777" w:rsidR="000C661E" w:rsidRPr="000C661E" w:rsidRDefault="000C661E" w:rsidP="00874519">
      <w:pPr>
        <w:pStyle w:val="NoSpacing"/>
        <w:jc w:val="both"/>
        <w:rPr>
          <w:sz w:val="20"/>
          <w:szCs w:val="20"/>
        </w:rPr>
      </w:pPr>
      <w:r w:rsidRPr="000C661E">
        <w:rPr>
          <w:sz w:val="20"/>
          <w:szCs w:val="20"/>
        </w:rPr>
        <w:t>The British Business Bank’s mission is to improve access to finance for SME’s and to drive sustainable growth and prosperity across the UK, and enable the transition to a net zero economy, by supporting access to finance for smaller businesses. The Bank’s role is to deliver against four strategic objectives:</w:t>
      </w:r>
    </w:p>
    <w:p w14:paraId="155664B7" w14:textId="77777777" w:rsidR="000C661E" w:rsidRPr="000C661E" w:rsidRDefault="000C661E" w:rsidP="00874519">
      <w:pPr>
        <w:pStyle w:val="NoSpacing"/>
        <w:jc w:val="both"/>
        <w:rPr>
          <w:sz w:val="20"/>
          <w:szCs w:val="20"/>
        </w:rPr>
      </w:pPr>
    </w:p>
    <w:p w14:paraId="2E626EDD" w14:textId="77777777" w:rsidR="000C661E" w:rsidRPr="000C661E" w:rsidRDefault="000C661E" w:rsidP="00874519">
      <w:pPr>
        <w:pStyle w:val="NoSpacing"/>
        <w:numPr>
          <w:ilvl w:val="0"/>
          <w:numId w:val="37"/>
        </w:numPr>
        <w:jc w:val="both"/>
        <w:rPr>
          <w:b/>
          <w:bCs/>
          <w:sz w:val="20"/>
          <w:szCs w:val="20"/>
        </w:rPr>
      </w:pPr>
      <w:r w:rsidRPr="000C661E">
        <w:rPr>
          <w:b/>
          <w:bCs/>
          <w:sz w:val="20"/>
          <w:szCs w:val="20"/>
        </w:rPr>
        <w:t>Driving Sustainable Growth</w:t>
      </w:r>
      <w:r w:rsidRPr="000C661E">
        <w:rPr>
          <w:sz w:val="20"/>
          <w:szCs w:val="20"/>
        </w:rPr>
        <w:t xml:space="preserve"> – Ensuring smaller businesses can access the right type of finance they need to start, survive and grow.</w:t>
      </w:r>
    </w:p>
    <w:p w14:paraId="1143EF7A" w14:textId="77777777" w:rsidR="000C661E" w:rsidRPr="000C661E" w:rsidRDefault="000C661E" w:rsidP="00874519">
      <w:pPr>
        <w:pStyle w:val="NoSpacing"/>
        <w:numPr>
          <w:ilvl w:val="0"/>
          <w:numId w:val="37"/>
        </w:numPr>
        <w:jc w:val="both"/>
        <w:rPr>
          <w:b/>
          <w:bCs/>
          <w:sz w:val="20"/>
          <w:szCs w:val="20"/>
        </w:rPr>
      </w:pPr>
      <w:r w:rsidRPr="000C661E">
        <w:rPr>
          <w:b/>
          <w:bCs/>
          <w:sz w:val="20"/>
          <w:szCs w:val="20"/>
        </w:rPr>
        <w:t>Backing Innovation</w:t>
      </w:r>
      <w:r w:rsidRPr="000C661E">
        <w:rPr>
          <w:sz w:val="20"/>
          <w:szCs w:val="20"/>
        </w:rPr>
        <w:t xml:space="preserve"> – Ensuring innovative businesses can access the right capital to start and scale.</w:t>
      </w:r>
    </w:p>
    <w:p w14:paraId="7646D0F7" w14:textId="77777777" w:rsidR="000C661E" w:rsidRPr="000C661E" w:rsidRDefault="000C661E" w:rsidP="00874519">
      <w:pPr>
        <w:pStyle w:val="NoSpacing"/>
        <w:numPr>
          <w:ilvl w:val="0"/>
          <w:numId w:val="37"/>
        </w:numPr>
        <w:jc w:val="both"/>
        <w:rPr>
          <w:b/>
          <w:bCs/>
          <w:sz w:val="20"/>
          <w:szCs w:val="20"/>
        </w:rPr>
      </w:pPr>
      <w:r w:rsidRPr="000C661E">
        <w:rPr>
          <w:b/>
          <w:bCs/>
          <w:sz w:val="20"/>
          <w:szCs w:val="20"/>
        </w:rPr>
        <w:t>Unlocking Potential</w:t>
      </w:r>
      <w:r w:rsidRPr="000C661E">
        <w:rPr>
          <w:sz w:val="20"/>
          <w:szCs w:val="20"/>
        </w:rPr>
        <w:t xml:space="preserve"> – Unlocking growth by ensuring entrepreneurs can access the finance they need regardless of where and who they are.</w:t>
      </w:r>
    </w:p>
    <w:p w14:paraId="15CB9609" w14:textId="77777777" w:rsidR="000C661E" w:rsidRPr="000C661E" w:rsidRDefault="000C661E" w:rsidP="00874519">
      <w:pPr>
        <w:pStyle w:val="NoSpacing"/>
        <w:numPr>
          <w:ilvl w:val="0"/>
          <w:numId w:val="37"/>
        </w:numPr>
        <w:jc w:val="both"/>
        <w:rPr>
          <w:b/>
          <w:bCs/>
          <w:sz w:val="20"/>
          <w:szCs w:val="20"/>
        </w:rPr>
      </w:pPr>
      <w:r w:rsidRPr="000C661E">
        <w:rPr>
          <w:b/>
          <w:bCs/>
          <w:sz w:val="20"/>
          <w:szCs w:val="20"/>
        </w:rPr>
        <w:t>Building The Modern, Green Economy</w:t>
      </w:r>
      <w:r w:rsidRPr="000C661E">
        <w:rPr>
          <w:sz w:val="20"/>
          <w:szCs w:val="20"/>
        </w:rPr>
        <w:t xml:space="preserve"> – Financing groundbreaking solutions to climate change and helping smaller businesses transition to net zero so they thrive in a green future.</w:t>
      </w:r>
    </w:p>
    <w:p w14:paraId="3E4785F3" w14:textId="77777777" w:rsidR="000C661E" w:rsidRPr="000C661E" w:rsidRDefault="000C661E" w:rsidP="00874519">
      <w:pPr>
        <w:pStyle w:val="NoSpacing"/>
        <w:jc w:val="both"/>
        <w:rPr>
          <w:b/>
          <w:bCs/>
          <w:sz w:val="20"/>
          <w:szCs w:val="20"/>
        </w:rPr>
      </w:pPr>
    </w:p>
    <w:p w14:paraId="7FE7C881" w14:textId="77777777" w:rsidR="0068381C" w:rsidRDefault="0068381C" w:rsidP="0068381C">
      <w:pPr>
        <w:spacing w:line="240" w:lineRule="auto"/>
        <w:jc w:val="both"/>
      </w:pPr>
      <w:r>
        <w:t>We are a mission and purpose led organisation, focussed on our customers and our people and live by our core values – collaboration, creativity and commitment. Increasing growth in the UK economy will be underpinned by greater long-term investment which is a crucial part of the role that British Business bank fulfils.</w:t>
      </w:r>
    </w:p>
    <w:p w14:paraId="7A04095A" w14:textId="77777777" w:rsidR="0068381C" w:rsidRDefault="0068381C" w:rsidP="0068381C">
      <w:pPr>
        <w:spacing w:line="240" w:lineRule="auto"/>
        <w:jc w:val="both"/>
      </w:pPr>
    </w:p>
    <w:p w14:paraId="07E7B1B8" w14:textId="77777777" w:rsidR="0068381C" w:rsidRDefault="0068381C" w:rsidP="0068381C">
      <w:pPr>
        <w:spacing w:line="240" w:lineRule="auto"/>
        <w:jc w:val="both"/>
      </w:pPr>
      <w:r>
        <w:t>We work with more than 200 delivery partners to deliver our finance programmes that address existing gaps in the market, so that smaller businesses can access the right finance for them whatever their stage of development.</w:t>
      </w:r>
    </w:p>
    <w:p w14:paraId="5E99823C" w14:textId="77777777" w:rsidR="0068381C" w:rsidRDefault="0068381C" w:rsidP="0068381C">
      <w:pPr>
        <w:spacing w:line="240" w:lineRule="auto"/>
        <w:jc w:val="both"/>
      </w:pPr>
    </w:p>
    <w:p w14:paraId="42261FF3" w14:textId="77777777" w:rsidR="0068381C" w:rsidRDefault="0068381C" w:rsidP="0068381C">
      <w:pPr>
        <w:spacing w:line="240" w:lineRule="auto"/>
        <w:jc w:val="both"/>
      </w:pPr>
      <w:r>
        <w:t>We form an important part of the innovation funding landscape through our equity programmes, which invest in high-growth, innovative UK businesses, and in supporting UK debt markets, which help firms to innovate both their products and processes.</w:t>
      </w:r>
    </w:p>
    <w:p w14:paraId="4BA4732F" w14:textId="77777777" w:rsidR="0068381C" w:rsidRDefault="0068381C" w:rsidP="0068381C">
      <w:pPr>
        <w:spacing w:line="240" w:lineRule="auto"/>
        <w:jc w:val="both"/>
      </w:pPr>
    </w:p>
    <w:p w14:paraId="1239DD51" w14:textId="227374E1" w:rsidR="0068381C" w:rsidRDefault="00E82316" w:rsidP="007F21BC">
      <w:pPr>
        <w:spacing w:after="120" w:line="276" w:lineRule="auto"/>
        <w:jc w:val="both"/>
        <w:rPr>
          <w:rFonts w:ascii="Arial" w:hAnsi="Arial"/>
        </w:rPr>
      </w:pPr>
      <w:r>
        <w:rPr>
          <w:rFonts w:ascii="Arial" w:hAnsi="Arial"/>
        </w:rPr>
        <w:t>Since 2014, t</w:t>
      </w:r>
      <w:r w:rsidR="0068381C">
        <w:rPr>
          <w:rFonts w:ascii="Arial" w:hAnsi="Arial"/>
        </w:rPr>
        <w:t>he</w:t>
      </w:r>
      <w:r w:rsidR="0068381C" w:rsidRPr="00A44BD2">
        <w:rPr>
          <w:rFonts w:ascii="Arial" w:hAnsi="Arial"/>
        </w:rPr>
        <w:t xml:space="preserve"> Bank has grown to become the largest domestic investor in UK venture capital and venture growth capital</w:t>
      </w:r>
      <w:r>
        <w:rPr>
          <w:rFonts w:ascii="Arial" w:hAnsi="Arial"/>
        </w:rPr>
        <w:t xml:space="preserve">. It has more than £3.8 billion in total commitments, supported 357 equity funds and 4,770 UK businesses through its equity programmes. </w:t>
      </w:r>
      <w:r>
        <w:t>A</w:t>
      </w:r>
      <w:r w:rsidR="0068381C">
        <w:rPr>
          <w:rFonts w:ascii="Arial" w:hAnsi="Arial"/>
        </w:rPr>
        <w:t xml:space="preserve">s </w:t>
      </w:r>
      <w:r w:rsidR="0068381C" w:rsidRPr="00A44BD2">
        <w:rPr>
          <w:rFonts w:ascii="Arial" w:hAnsi="Arial"/>
        </w:rPr>
        <w:t xml:space="preserve">of </w:t>
      </w:r>
      <w:r w:rsidR="0068381C">
        <w:rPr>
          <w:rFonts w:ascii="Arial" w:hAnsi="Arial"/>
        </w:rPr>
        <w:t>June 2024</w:t>
      </w:r>
      <w:r w:rsidR="0068381C" w:rsidRPr="00A44BD2">
        <w:rPr>
          <w:rFonts w:ascii="Arial" w:hAnsi="Arial"/>
        </w:rPr>
        <w:t xml:space="preserve">, the Bank’s equity programmes </w:t>
      </w:r>
      <w:proofErr w:type="gramStart"/>
      <w:r w:rsidR="0068381C" w:rsidRPr="00A44BD2">
        <w:rPr>
          <w:rFonts w:ascii="Arial" w:hAnsi="Arial"/>
        </w:rPr>
        <w:t>have involvement</w:t>
      </w:r>
      <w:proofErr w:type="gramEnd"/>
      <w:r w:rsidR="0068381C" w:rsidRPr="00A44BD2">
        <w:rPr>
          <w:rFonts w:ascii="Arial" w:hAnsi="Arial"/>
        </w:rPr>
        <w:t xml:space="preserve"> in </w:t>
      </w:r>
      <w:r w:rsidR="0068381C">
        <w:rPr>
          <w:rFonts w:ascii="Arial" w:hAnsi="Arial"/>
        </w:rPr>
        <w:t xml:space="preserve">almost two-thirds </w:t>
      </w:r>
      <w:r w:rsidR="0068381C" w:rsidRPr="00A44BD2">
        <w:rPr>
          <w:rFonts w:ascii="Arial" w:hAnsi="Arial"/>
        </w:rPr>
        <w:t>of all UK unicorn status businesses.</w:t>
      </w:r>
      <w:r w:rsidR="0068381C">
        <w:rPr>
          <w:rFonts w:ascii="Arial" w:hAnsi="Arial"/>
        </w:rPr>
        <w:t xml:space="preserve"> </w:t>
      </w:r>
    </w:p>
    <w:p w14:paraId="51BE655C" w14:textId="25C50412" w:rsidR="0068381C" w:rsidRDefault="0068381C" w:rsidP="007F21BC">
      <w:pPr>
        <w:spacing w:after="120" w:line="276" w:lineRule="auto"/>
        <w:jc w:val="both"/>
        <w:rPr>
          <w:rFonts w:ascii="Arial" w:hAnsi="Arial"/>
        </w:rPr>
      </w:pPr>
      <w:r>
        <w:rPr>
          <w:rFonts w:ascii="Arial" w:hAnsi="Arial"/>
        </w:rPr>
        <w:t>In October 2024, t</w:t>
      </w:r>
      <w:r w:rsidRPr="00A44BD2">
        <w:rPr>
          <w:rFonts w:ascii="Arial" w:hAnsi="Arial"/>
        </w:rPr>
        <w:t xml:space="preserve">he government announced </w:t>
      </w:r>
      <w:r>
        <w:rPr>
          <w:rFonts w:ascii="Arial" w:hAnsi="Arial"/>
        </w:rPr>
        <w:t xml:space="preserve">that the British Business Bank will establish the British Growth Partnership, subject to regulatory approval, encouraging more UK pension fund investment into the UK’s fastest growing, most innovative companies. The British Growth Partnership will be underpinned by a new legal entity regulated by the FCA to conduct investment advisory and fundraising activities. The financial framework for the Bank will also be reformed, putting the Bank’s £7.9bn commercial programmes on a permanent footing. </w:t>
      </w:r>
    </w:p>
    <w:p w14:paraId="4AD8658B" w14:textId="77777777" w:rsidR="004C1057" w:rsidRDefault="004C1057">
      <w:pPr>
        <w:spacing w:line="240" w:lineRule="auto"/>
        <w:rPr>
          <w:rFonts w:ascii="Arial" w:eastAsia="Arial" w:hAnsi="Arial"/>
          <w:b/>
          <w:bCs/>
          <w:iCs/>
          <w:color w:val="4A0080"/>
          <w:sz w:val="28"/>
          <w:szCs w:val="28"/>
        </w:rPr>
      </w:pPr>
      <w:r>
        <w:rPr>
          <w:rFonts w:ascii="Arial" w:eastAsia="Arial" w:hAnsi="Arial"/>
          <w:b/>
          <w:bCs/>
          <w:iCs/>
          <w:color w:val="4A0080"/>
          <w:sz w:val="28"/>
          <w:szCs w:val="28"/>
        </w:rPr>
        <w:br w:type="page"/>
      </w:r>
    </w:p>
    <w:p w14:paraId="4AAC6676" w14:textId="2E4FEA33" w:rsidR="008B7337" w:rsidRPr="006422A7" w:rsidRDefault="008B7337" w:rsidP="003F0028">
      <w:pPr>
        <w:keepNext/>
        <w:spacing w:before="240" w:after="120" w:line="216" w:lineRule="auto"/>
        <w:outlineLvl w:val="1"/>
        <w:rPr>
          <w:rFonts w:ascii="Arial" w:eastAsia="Arial" w:hAnsi="Arial"/>
          <w:b/>
          <w:bCs/>
          <w:iCs/>
          <w:color w:val="4A0080"/>
          <w:sz w:val="28"/>
          <w:szCs w:val="28"/>
        </w:rPr>
      </w:pPr>
      <w:r w:rsidRPr="006422A7">
        <w:rPr>
          <w:rFonts w:ascii="Arial" w:eastAsia="Arial" w:hAnsi="Arial"/>
          <w:b/>
          <w:bCs/>
          <w:iCs/>
          <w:color w:val="4A0080"/>
          <w:sz w:val="28"/>
          <w:szCs w:val="28"/>
        </w:rPr>
        <w:lastRenderedPageBreak/>
        <w:t>The Board</w:t>
      </w:r>
    </w:p>
    <w:p w14:paraId="4C8BE191" w14:textId="1784B0FE" w:rsidR="00874519" w:rsidRPr="00874519" w:rsidRDefault="00874519" w:rsidP="00874519">
      <w:pPr>
        <w:pStyle w:val="NoSpacing"/>
        <w:jc w:val="both"/>
        <w:rPr>
          <w:sz w:val="20"/>
          <w:szCs w:val="20"/>
        </w:rPr>
      </w:pPr>
      <w:r w:rsidRPr="00874519">
        <w:rPr>
          <w:sz w:val="20"/>
          <w:szCs w:val="20"/>
        </w:rPr>
        <w:t>The</w:t>
      </w:r>
      <w:r w:rsidRPr="00874519">
        <w:rPr>
          <w:spacing w:val="-7"/>
          <w:sz w:val="20"/>
          <w:szCs w:val="20"/>
        </w:rPr>
        <w:t xml:space="preserve"> </w:t>
      </w:r>
      <w:r w:rsidRPr="00874519">
        <w:rPr>
          <w:sz w:val="20"/>
          <w:szCs w:val="20"/>
        </w:rPr>
        <w:t>Board</w:t>
      </w:r>
      <w:r w:rsidRPr="00874519">
        <w:rPr>
          <w:spacing w:val="-5"/>
          <w:sz w:val="20"/>
          <w:szCs w:val="20"/>
        </w:rPr>
        <w:t xml:space="preserve"> </w:t>
      </w:r>
      <w:r w:rsidRPr="00874519">
        <w:rPr>
          <w:sz w:val="20"/>
          <w:szCs w:val="20"/>
        </w:rPr>
        <w:t>brings</w:t>
      </w:r>
      <w:r w:rsidRPr="00874519">
        <w:rPr>
          <w:spacing w:val="-7"/>
          <w:sz w:val="20"/>
          <w:szCs w:val="20"/>
        </w:rPr>
        <w:t xml:space="preserve"> </w:t>
      </w:r>
      <w:r w:rsidRPr="00874519">
        <w:rPr>
          <w:sz w:val="20"/>
          <w:szCs w:val="20"/>
        </w:rPr>
        <w:t>together</w:t>
      </w:r>
      <w:r w:rsidRPr="00874519">
        <w:rPr>
          <w:spacing w:val="-10"/>
          <w:sz w:val="20"/>
          <w:szCs w:val="20"/>
        </w:rPr>
        <w:t xml:space="preserve"> </w:t>
      </w:r>
      <w:r w:rsidRPr="00874519">
        <w:rPr>
          <w:sz w:val="20"/>
          <w:szCs w:val="20"/>
        </w:rPr>
        <w:t>a</w:t>
      </w:r>
      <w:r w:rsidRPr="00874519">
        <w:rPr>
          <w:spacing w:val="-4"/>
          <w:sz w:val="20"/>
          <w:szCs w:val="20"/>
        </w:rPr>
        <w:t xml:space="preserve"> </w:t>
      </w:r>
      <w:r w:rsidRPr="00874519">
        <w:rPr>
          <w:sz w:val="20"/>
          <w:szCs w:val="20"/>
        </w:rPr>
        <w:t>wide</w:t>
      </w:r>
      <w:r w:rsidRPr="00874519">
        <w:rPr>
          <w:spacing w:val="-7"/>
          <w:sz w:val="20"/>
          <w:szCs w:val="20"/>
        </w:rPr>
        <w:t xml:space="preserve"> </w:t>
      </w:r>
      <w:r w:rsidRPr="00874519">
        <w:rPr>
          <w:sz w:val="20"/>
          <w:szCs w:val="20"/>
        </w:rPr>
        <w:t>range</w:t>
      </w:r>
      <w:r w:rsidRPr="00874519">
        <w:rPr>
          <w:spacing w:val="-9"/>
          <w:sz w:val="20"/>
          <w:szCs w:val="20"/>
        </w:rPr>
        <w:t xml:space="preserve"> </w:t>
      </w:r>
      <w:r w:rsidRPr="00874519">
        <w:rPr>
          <w:sz w:val="20"/>
          <w:szCs w:val="20"/>
        </w:rPr>
        <w:t>of financial,</w:t>
      </w:r>
      <w:r w:rsidRPr="00874519">
        <w:rPr>
          <w:spacing w:val="-11"/>
          <w:sz w:val="20"/>
          <w:szCs w:val="20"/>
        </w:rPr>
        <w:t xml:space="preserve"> </w:t>
      </w:r>
      <w:r w:rsidRPr="00874519">
        <w:rPr>
          <w:sz w:val="20"/>
          <w:szCs w:val="20"/>
        </w:rPr>
        <w:t>SME</w:t>
      </w:r>
      <w:r w:rsidRPr="00874519">
        <w:rPr>
          <w:spacing w:val="-5"/>
          <w:sz w:val="20"/>
          <w:szCs w:val="20"/>
        </w:rPr>
        <w:t xml:space="preserve"> </w:t>
      </w:r>
      <w:r w:rsidRPr="00874519">
        <w:rPr>
          <w:sz w:val="20"/>
          <w:szCs w:val="20"/>
        </w:rPr>
        <w:t>and</w:t>
      </w:r>
      <w:r w:rsidRPr="00874519">
        <w:rPr>
          <w:spacing w:val="-5"/>
          <w:sz w:val="20"/>
          <w:szCs w:val="20"/>
        </w:rPr>
        <w:t xml:space="preserve"> </w:t>
      </w:r>
      <w:r w:rsidRPr="00874519">
        <w:rPr>
          <w:sz w:val="20"/>
          <w:szCs w:val="20"/>
        </w:rPr>
        <w:t>business</w:t>
      </w:r>
      <w:r w:rsidRPr="00874519">
        <w:rPr>
          <w:spacing w:val="-10"/>
          <w:sz w:val="20"/>
          <w:szCs w:val="20"/>
        </w:rPr>
        <w:t xml:space="preserve"> </w:t>
      </w:r>
      <w:r w:rsidRPr="00874519">
        <w:rPr>
          <w:sz w:val="20"/>
          <w:szCs w:val="20"/>
        </w:rPr>
        <w:t>experience, comprised</w:t>
      </w:r>
      <w:r w:rsidR="000301EB">
        <w:rPr>
          <w:sz w:val="20"/>
          <w:szCs w:val="20"/>
        </w:rPr>
        <w:t xml:space="preserve"> currently</w:t>
      </w:r>
      <w:r w:rsidRPr="00874519">
        <w:rPr>
          <w:spacing w:val="-13"/>
          <w:sz w:val="20"/>
          <w:szCs w:val="20"/>
        </w:rPr>
        <w:t xml:space="preserve"> </w:t>
      </w:r>
      <w:r w:rsidRPr="00874519">
        <w:rPr>
          <w:sz w:val="20"/>
          <w:szCs w:val="20"/>
        </w:rPr>
        <w:t>of s</w:t>
      </w:r>
      <w:r w:rsidR="000301EB">
        <w:rPr>
          <w:sz w:val="20"/>
          <w:szCs w:val="20"/>
        </w:rPr>
        <w:t>ix</w:t>
      </w:r>
      <w:r w:rsidRPr="00874519">
        <w:rPr>
          <w:sz w:val="20"/>
          <w:szCs w:val="20"/>
        </w:rPr>
        <w:t xml:space="preserve"> independent Non-Executive Directors, one Shareholder Representative Director, and t</w:t>
      </w:r>
      <w:r w:rsidR="00BF183F">
        <w:rPr>
          <w:sz w:val="20"/>
          <w:szCs w:val="20"/>
        </w:rPr>
        <w:t>wo</w:t>
      </w:r>
      <w:r w:rsidRPr="00874519">
        <w:rPr>
          <w:sz w:val="20"/>
          <w:szCs w:val="20"/>
        </w:rPr>
        <w:t xml:space="preserve"> Executive Directors. Until the Board was formalised in 2014, the Bank was run as a shadow</w:t>
      </w:r>
      <w:r w:rsidRPr="00874519">
        <w:rPr>
          <w:spacing w:val="-2"/>
          <w:sz w:val="20"/>
          <w:szCs w:val="20"/>
        </w:rPr>
        <w:t xml:space="preserve"> </w:t>
      </w:r>
      <w:r w:rsidRPr="00874519">
        <w:rPr>
          <w:sz w:val="20"/>
          <w:szCs w:val="20"/>
        </w:rPr>
        <w:t>operation within the Department for Business,</w:t>
      </w:r>
      <w:r w:rsidRPr="00874519">
        <w:rPr>
          <w:spacing w:val="-2"/>
          <w:sz w:val="20"/>
          <w:szCs w:val="20"/>
        </w:rPr>
        <w:t xml:space="preserve"> </w:t>
      </w:r>
      <w:r w:rsidRPr="00874519">
        <w:rPr>
          <w:sz w:val="20"/>
          <w:szCs w:val="20"/>
        </w:rPr>
        <w:t>Energy and Industrial</w:t>
      </w:r>
      <w:r w:rsidRPr="00874519">
        <w:rPr>
          <w:spacing w:val="-1"/>
          <w:sz w:val="20"/>
          <w:szCs w:val="20"/>
        </w:rPr>
        <w:t xml:space="preserve"> </w:t>
      </w:r>
      <w:r w:rsidRPr="00874519">
        <w:rPr>
          <w:sz w:val="20"/>
          <w:szCs w:val="20"/>
        </w:rPr>
        <w:t>Strategy (BEIS). The Board</w:t>
      </w:r>
      <w:r w:rsidRPr="00874519">
        <w:rPr>
          <w:spacing w:val="-2"/>
          <w:sz w:val="20"/>
          <w:szCs w:val="20"/>
        </w:rPr>
        <w:t xml:space="preserve"> </w:t>
      </w:r>
      <w:r w:rsidRPr="00874519">
        <w:rPr>
          <w:sz w:val="20"/>
          <w:szCs w:val="20"/>
        </w:rPr>
        <w:t>has</w:t>
      </w:r>
      <w:r w:rsidRPr="00874519">
        <w:rPr>
          <w:spacing w:val="40"/>
          <w:sz w:val="20"/>
          <w:szCs w:val="20"/>
        </w:rPr>
        <w:t xml:space="preserve"> </w:t>
      </w:r>
      <w:r w:rsidRPr="00874519">
        <w:rPr>
          <w:sz w:val="20"/>
          <w:szCs w:val="20"/>
        </w:rPr>
        <w:t>met</w:t>
      </w:r>
      <w:r w:rsidRPr="00874519">
        <w:rPr>
          <w:spacing w:val="40"/>
          <w:sz w:val="20"/>
          <w:szCs w:val="20"/>
        </w:rPr>
        <w:t xml:space="preserve"> </w:t>
      </w:r>
      <w:r w:rsidRPr="00874519">
        <w:rPr>
          <w:sz w:val="20"/>
          <w:szCs w:val="20"/>
        </w:rPr>
        <w:t>regularly</w:t>
      </w:r>
      <w:r w:rsidRPr="00874519">
        <w:rPr>
          <w:spacing w:val="-3"/>
          <w:sz w:val="20"/>
          <w:szCs w:val="20"/>
        </w:rPr>
        <w:t xml:space="preserve"> </w:t>
      </w:r>
      <w:r w:rsidRPr="00874519">
        <w:rPr>
          <w:sz w:val="20"/>
          <w:szCs w:val="20"/>
        </w:rPr>
        <w:t>since</w:t>
      </w:r>
      <w:r w:rsidRPr="00874519">
        <w:rPr>
          <w:spacing w:val="40"/>
          <w:sz w:val="20"/>
          <w:szCs w:val="20"/>
        </w:rPr>
        <w:t xml:space="preserve"> </w:t>
      </w:r>
      <w:r w:rsidRPr="00874519">
        <w:rPr>
          <w:sz w:val="20"/>
          <w:szCs w:val="20"/>
        </w:rPr>
        <w:t>its establishment in</w:t>
      </w:r>
      <w:r w:rsidRPr="00874519">
        <w:rPr>
          <w:spacing w:val="-4"/>
          <w:sz w:val="20"/>
          <w:szCs w:val="20"/>
        </w:rPr>
        <w:t xml:space="preserve"> </w:t>
      </w:r>
      <w:r w:rsidRPr="00874519">
        <w:rPr>
          <w:sz w:val="20"/>
          <w:szCs w:val="20"/>
        </w:rPr>
        <w:t>2014,</w:t>
      </w:r>
      <w:r w:rsidRPr="00874519">
        <w:rPr>
          <w:spacing w:val="40"/>
          <w:sz w:val="20"/>
          <w:szCs w:val="20"/>
        </w:rPr>
        <w:t xml:space="preserve"> </w:t>
      </w:r>
      <w:r w:rsidRPr="00874519">
        <w:rPr>
          <w:sz w:val="20"/>
          <w:szCs w:val="20"/>
        </w:rPr>
        <w:t>adopting its</w:t>
      </w:r>
      <w:r w:rsidRPr="00874519">
        <w:rPr>
          <w:spacing w:val="-5"/>
          <w:sz w:val="20"/>
          <w:szCs w:val="20"/>
        </w:rPr>
        <w:t xml:space="preserve"> </w:t>
      </w:r>
      <w:r w:rsidRPr="00874519">
        <w:rPr>
          <w:sz w:val="20"/>
          <w:szCs w:val="20"/>
        </w:rPr>
        <w:t>formal</w:t>
      </w:r>
      <w:r w:rsidRPr="00874519">
        <w:rPr>
          <w:spacing w:val="40"/>
          <w:sz w:val="20"/>
          <w:szCs w:val="20"/>
        </w:rPr>
        <w:t xml:space="preserve"> </w:t>
      </w:r>
      <w:r w:rsidRPr="00874519">
        <w:rPr>
          <w:sz w:val="20"/>
          <w:szCs w:val="20"/>
        </w:rPr>
        <w:t>governance role</w:t>
      </w:r>
      <w:r w:rsidRPr="00874519">
        <w:rPr>
          <w:spacing w:val="40"/>
          <w:sz w:val="20"/>
          <w:szCs w:val="20"/>
        </w:rPr>
        <w:t xml:space="preserve"> </w:t>
      </w:r>
      <w:r w:rsidRPr="00874519">
        <w:rPr>
          <w:sz w:val="20"/>
          <w:szCs w:val="20"/>
        </w:rPr>
        <w:t>in</w:t>
      </w:r>
      <w:r w:rsidRPr="00874519">
        <w:rPr>
          <w:spacing w:val="-4"/>
          <w:sz w:val="20"/>
          <w:szCs w:val="20"/>
        </w:rPr>
        <w:t xml:space="preserve"> </w:t>
      </w:r>
      <w:r w:rsidRPr="00874519">
        <w:rPr>
          <w:sz w:val="20"/>
          <w:szCs w:val="20"/>
        </w:rPr>
        <w:t>November</w:t>
      </w:r>
      <w:r w:rsidRPr="00874519">
        <w:rPr>
          <w:spacing w:val="-5"/>
          <w:sz w:val="20"/>
          <w:szCs w:val="20"/>
        </w:rPr>
        <w:t xml:space="preserve"> </w:t>
      </w:r>
      <w:r w:rsidRPr="00874519">
        <w:rPr>
          <w:sz w:val="20"/>
          <w:szCs w:val="20"/>
        </w:rPr>
        <w:t>2014,</w:t>
      </w:r>
      <w:r w:rsidRPr="00874519">
        <w:rPr>
          <w:spacing w:val="-12"/>
          <w:sz w:val="20"/>
          <w:szCs w:val="20"/>
        </w:rPr>
        <w:t xml:space="preserve"> </w:t>
      </w:r>
      <w:r w:rsidRPr="00874519">
        <w:rPr>
          <w:sz w:val="20"/>
          <w:szCs w:val="20"/>
        </w:rPr>
        <w:t>when</w:t>
      </w:r>
      <w:r w:rsidRPr="00874519">
        <w:rPr>
          <w:spacing w:val="-10"/>
          <w:sz w:val="20"/>
          <w:szCs w:val="20"/>
        </w:rPr>
        <w:t xml:space="preserve"> </w:t>
      </w:r>
      <w:r w:rsidRPr="00874519">
        <w:rPr>
          <w:sz w:val="20"/>
          <w:szCs w:val="20"/>
        </w:rPr>
        <w:t>operations</w:t>
      </w:r>
      <w:r w:rsidRPr="00874519">
        <w:rPr>
          <w:spacing w:val="-16"/>
          <w:sz w:val="20"/>
          <w:szCs w:val="20"/>
        </w:rPr>
        <w:t xml:space="preserve"> </w:t>
      </w:r>
      <w:r w:rsidRPr="00874519">
        <w:rPr>
          <w:sz w:val="20"/>
          <w:szCs w:val="20"/>
        </w:rPr>
        <w:t>and assets were transferred to British Business Bank plc.</w:t>
      </w:r>
    </w:p>
    <w:p w14:paraId="05B003BB" w14:textId="77777777" w:rsidR="00874519" w:rsidRPr="00135651" w:rsidRDefault="00874519" w:rsidP="009A5931">
      <w:pPr>
        <w:overflowPunct w:val="0"/>
        <w:autoSpaceDE w:val="0"/>
        <w:autoSpaceDN w:val="0"/>
        <w:adjustRightInd w:val="0"/>
        <w:spacing w:line="240" w:lineRule="auto"/>
        <w:contextualSpacing/>
        <w:textAlignment w:val="baseline"/>
        <w:rPr>
          <w:rFonts w:ascii="Arial" w:eastAsia="MS PGothic" w:hAnsi="Arial"/>
          <w:color w:val="032B5D"/>
          <w:sz w:val="24"/>
          <w:szCs w:val="36"/>
          <w:highlight w:val="yellow"/>
        </w:rPr>
      </w:pPr>
    </w:p>
    <w:p w14:paraId="7FC8F30B" w14:textId="77777777" w:rsidR="008B7337" w:rsidRPr="006422A7" w:rsidRDefault="008B7337" w:rsidP="0068381C">
      <w:pPr>
        <w:overflowPunct w:val="0"/>
        <w:autoSpaceDE w:val="0"/>
        <w:autoSpaceDN w:val="0"/>
        <w:adjustRightInd w:val="0"/>
        <w:spacing w:line="240" w:lineRule="auto"/>
        <w:ind w:left="568"/>
        <w:contextualSpacing/>
        <w:textAlignment w:val="baseline"/>
        <w:rPr>
          <w:rFonts w:ascii="Arial" w:eastAsia="MS PGothic" w:hAnsi="Arial"/>
          <w:b/>
          <w:color w:val="000000"/>
          <w:szCs w:val="24"/>
          <w:u w:val="single"/>
        </w:rPr>
      </w:pPr>
      <w:bookmarkStart w:id="5" w:name="_Hlk532378716"/>
      <w:bookmarkStart w:id="6" w:name="_Hlk141353830"/>
      <w:r w:rsidRPr="006422A7">
        <w:rPr>
          <w:rFonts w:ascii="Arial" w:eastAsia="MS PGothic" w:hAnsi="Arial"/>
          <w:b/>
          <w:color w:val="000000"/>
          <w:szCs w:val="24"/>
          <w:u w:val="single"/>
        </w:rPr>
        <w:t>Executive Directors:</w:t>
      </w:r>
    </w:p>
    <w:p w14:paraId="5B20ED0C" w14:textId="4B7A5AEE" w:rsidR="008B7337" w:rsidRPr="006422A7" w:rsidRDefault="00933F2A"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color w:val="000000"/>
          <w:szCs w:val="24"/>
        </w:rPr>
      </w:pPr>
      <w:r>
        <w:rPr>
          <w:rFonts w:ascii="Arial" w:eastAsia="MS PGothic" w:hAnsi="Arial"/>
          <w:b/>
          <w:color w:val="000000"/>
          <w:szCs w:val="24"/>
        </w:rPr>
        <w:t xml:space="preserve">Louis Taylor, </w:t>
      </w:r>
      <w:r w:rsidRPr="0068381C">
        <w:rPr>
          <w:rFonts w:ascii="Arial" w:eastAsia="MS PGothic" w:hAnsi="Arial"/>
          <w:bCs/>
          <w:color w:val="000000"/>
          <w:szCs w:val="24"/>
        </w:rPr>
        <w:t>Chief Executive Officer</w:t>
      </w:r>
      <w:r>
        <w:rPr>
          <w:rFonts w:ascii="Arial" w:eastAsia="MS PGothic" w:hAnsi="Arial"/>
          <w:b/>
          <w:color w:val="000000"/>
          <w:szCs w:val="24"/>
        </w:rPr>
        <w:t xml:space="preserve"> </w:t>
      </w:r>
    </w:p>
    <w:p w14:paraId="1932CF89" w14:textId="144F8631" w:rsidR="008B7337" w:rsidRPr="006422A7" w:rsidRDefault="008B7337"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color w:val="000000"/>
          <w:szCs w:val="24"/>
        </w:rPr>
      </w:pPr>
      <w:r>
        <w:rPr>
          <w:rFonts w:ascii="Arial" w:eastAsia="MS PGothic" w:hAnsi="Arial"/>
          <w:b/>
          <w:color w:val="000000"/>
          <w:szCs w:val="24"/>
        </w:rPr>
        <w:t xml:space="preserve">David </w:t>
      </w:r>
      <w:r w:rsidR="000741AF">
        <w:rPr>
          <w:rFonts w:ascii="Arial" w:eastAsia="MS PGothic" w:hAnsi="Arial"/>
          <w:b/>
          <w:color w:val="000000"/>
          <w:szCs w:val="24"/>
        </w:rPr>
        <w:t xml:space="preserve">Hourican, </w:t>
      </w:r>
      <w:r w:rsidR="000741AF" w:rsidRPr="0068381C">
        <w:rPr>
          <w:rFonts w:ascii="Arial" w:eastAsia="MS PGothic" w:hAnsi="Arial"/>
          <w:bCs/>
          <w:color w:val="000000"/>
          <w:szCs w:val="24"/>
        </w:rPr>
        <w:t>Chief Financial Officer</w:t>
      </w:r>
      <w:r w:rsidR="000741AF">
        <w:rPr>
          <w:rFonts w:ascii="Arial" w:eastAsia="MS PGothic" w:hAnsi="Arial"/>
          <w:b/>
          <w:color w:val="000000"/>
          <w:szCs w:val="24"/>
        </w:rPr>
        <w:t xml:space="preserve"> </w:t>
      </w:r>
    </w:p>
    <w:p w14:paraId="23D87F15" w14:textId="77777777" w:rsidR="008B7337" w:rsidRPr="006422A7" w:rsidRDefault="008B7337" w:rsidP="0068381C">
      <w:pPr>
        <w:overflowPunct w:val="0"/>
        <w:autoSpaceDE w:val="0"/>
        <w:autoSpaceDN w:val="0"/>
        <w:adjustRightInd w:val="0"/>
        <w:spacing w:line="240" w:lineRule="auto"/>
        <w:ind w:left="568"/>
        <w:contextualSpacing/>
        <w:textAlignment w:val="baseline"/>
        <w:rPr>
          <w:rFonts w:ascii="Arial" w:eastAsia="MS PGothic" w:hAnsi="Arial"/>
          <w:color w:val="000000"/>
          <w:szCs w:val="24"/>
          <w:highlight w:val="yellow"/>
        </w:rPr>
      </w:pPr>
    </w:p>
    <w:p w14:paraId="43901BCD" w14:textId="77777777" w:rsidR="008B7337" w:rsidRPr="006422A7" w:rsidRDefault="008B7337" w:rsidP="0068381C">
      <w:pPr>
        <w:overflowPunct w:val="0"/>
        <w:autoSpaceDE w:val="0"/>
        <w:autoSpaceDN w:val="0"/>
        <w:adjustRightInd w:val="0"/>
        <w:spacing w:line="240" w:lineRule="auto"/>
        <w:ind w:left="568"/>
        <w:contextualSpacing/>
        <w:textAlignment w:val="baseline"/>
        <w:rPr>
          <w:rFonts w:ascii="Arial" w:eastAsia="MS PGothic" w:hAnsi="Arial"/>
          <w:b/>
          <w:color w:val="000000"/>
          <w:szCs w:val="24"/>
          <w:u w:val="single"/>
        </w:rPr>
      </w:pPr>
      <w:r w:rsidRPr="006422A7">
        <w:rPr>
          <w:rFonts w:ascii="Arial" w:eastAsia="MS PGothic" w:hAnsi="Arial"/>
          <w:b/>
          <w:color w:val="000000"/>
          <w:szCs w:val="24"/>
          <w:u w:val="single"/>
        </w:rPr>
        <w:t>Non-Executive Directors:</w:t>
      </w:r>
    </w:p>
    <w:p w14:paraId="0A8752C7" w14:textId="0D025BBE" w:rsidR="008B7337"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rPr>
      </w:pPr>
      <w:r>
        <w:rPr>
          <w:rFonts w:ascii="Arial" w:eastAsia="MS PGothic" w:hAnsi="Arial"/>
          <w:b/>
          <w:color w:val="000000"/>
          <w:szCs w:val="24"/>
        </w:rPr>
        <w:t xml:space="preserve">Stephen Welton, </w:t>
      </w:r>
      <w:r w:rsidRPr="0068381C">
        <w:rPr>
          <w:rFonts w:ascii="Arial" w:eastAsia="MS PGothic" w:hAnsi="Arial"/>
          <w:bCs/>
          <w:color w:val="000000"/>
          <w:szCs w:val="24"/>
        </w:rPr>
        <w:t>Chair</w:t>
      </w:r>
      <w:r w:rsidR="008B7337" w:rsidRPr="0068381C">
        <w:rPr>
          <w:rFonts w:ascii="Arial" w:eastAsia="MS PGothic" w:hAnsi="Arial"/>
          <w:bCs/>
          <w:color w:val="000000"/>
          <w:szCs w:val="24"/>
        </w:rPr>
        <w:t xml:space="preserve"> </w:t>
      </w:r>
    </w:p>
    <w:p w14:paraId="047F64D4" w14:textId="1D20108C" w:rsidR="008B7337"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rPr>
      </w:pPr>
      <w:r>
        <w:rPr>
          <w:rFonts w:ascii="Arial" w:eastAsia="MS PGothic" w:hAnsi="Arial"/>
          <w:b/>
          <w:color w:val="000000"/>
          <w:szCs w:val="24"/>
        </w:rPr>
        <w:t>Neeta Atkar</w:t>
      </w:r>
      <w:r w:rsidR="008B7337" w:rsidRPr="006422A7">
        <w:rPr>
          <w:rFonts w:ascii="Arial" w:eastAsia="MS PGothic" w:hAnsi="Arial"/>
          <w:b/>
          <w:color w:val="000000"/>
          <w:szCs w:val="24"/>
        </w:rPr>
        <w:t xml:space="preserve">, </w:t>
      </w:r>
      <w:r w:rsidR="008B7337" w:rsidRPr="0068381C">
        <w:rPr>
          <w:rFonts w:ascii="Arial" w:eastAsia="MS PGothic" w:hAnsi="Arial"/>
          <w:bCs/>
          <w:color w:val="000000"/>
          <w:szCs w:val="24"/>
        </w:rPr>
        <w:t>Senior Independent Director</w:t>
      </w:r>
      <w:r w:rsidRPr="0068381C">
        <w:rPr>
          <w:rFonts w:ascii="Arial" w:eastAsia="MS PGothic" w:hAnsi="Arial"/>
          <w:bCs/>
          <w:color w:val="000000"/>
          <w:szCs w:val="24"/>
        </w:rPr>
        <w:t>, Chair</w:t>
      </w:r>
      <w:r w:rsidR="00E82316">
        <w:rPr>
          <w:rFonts w:ascii="Arial" w:eastAsia="MS PGothic" w:hAnsi="Arial"/>
          <w:bCs/>
          <w:color w:val="000000"/>
          <w:szCs w:val="24"/>
        </w:rPr>
        <w:t xml:space="preserve"> of</w:t>
      </w:r>
      <w:r w:rsidRPr="0068381C">
        <w:rPr>
          <w:rFonts w:ascii="Arial" w:eastAsia="MS PGothic" w:hAnsi="Arial"/>
          <w:bCs/>
          <w:color w:val="000000"/>
          <w:szCs w:val="24"/>
        </w:rPr>
        <w:t xml:space="preserve"> Risk Committee, &amp; Interim Chair</w:t>
      </w:r>
      <w:r w:rsidR="00E82316">
        <w:rPr>
          <w:rFonts w:ascii="Arial" w:eastAsia="MS PGothic" w:hAnsi="Arial"/>
          <w:bCs/>
          <w:color w:val="000000"/>
          <w:szCs w:val="24"/>
        </w:rPr>
        <w:t xml:space="preserve"> of</w:t>
      </w:r>
      <w:r w:rsidRPr="0068381C">
        <w:rPr>
          <w:rFonts w:ascii="Arial" w:eastAsia="MS PGothic" w:hAnsi="Arial"/>
          <w:bCs/>
          <w:color w:val="000000"/>
          <w:szCs w:val="24"/>
        </w:rPr>
        <w:t xml:space="preserve"> Remuneration Committee</w:t>
      </w:r>
      <w:r w:rsidR="008B7337" w:rsidRPr="0068381C">
        <w:rPr>
          <w:rFonts w:ascii="Arial" w:eastAsia="MS PGothic" w:hAnsi="Arial"/>
          <w:bCs/>
          <w:color w:val="000000"/>
          <w:szCs w:val="24"/>
        </w:rPr>
        <w:t xml:space="preserve"> </w:t>
      </w:r>
    </w:p>
    <w:p w14:paraId="4FA35A27" w14:textId="031968DA" w:rsidR="00641805"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rPr>
      </w:pPr>
      <w:r w:rsidRPr="000741AF">
        <w:rPr>
          <w:rFonts w:ascii="Arial" w:eastAsia="MS PGothic" w:hAnsi="Arial"/>
          <w:b/>
          <w:color w:val="000000"/>
          <w:szCs w:val="24"/>
        </w:rPr>
        <w:t xml:space="preserve">Jenny Knott, </w:t>
      </w:r>
      <w:r w:rsidRPr="0068381C">
        <w:rPr>
          <w:rFonts w:ascii="Arial" w:eastAsia="MS PGothic" w:hAnsi="Arial"/>
          <w:bCs/>
          <w:color w:val="000000"/>
          <w:szCs w:val="24"/>
        </w:rPr>
        <w:t>Non-Executive Director &amp; Chair</w:t>
      </w:r>
      <w:r w:rsidR="00E82316">
        <w:rPr>
          <w:rFonts w:ascii="Arial" w:eastAsia="MS PGothic" w:hAnsi="Arial"/>
          <w:bCs/>
          <w:color w:val="000000"/>
          <w:szCs w:val="24"/>
        </w:rPr>
        <w:t xml:space="preserve"> of</w:t>
      </w:r>
      <w:r w:rsidRPr="0068381C">
        <w:rPr>
          <w:rFonts w:ascii="Arial" w:eastAsia="MS PGothic" w:hAnsi="Arial"/>
          <w:bCs/>
          <w:color w:val="000000"/>
          <w:szCs w:val="24"/>
        </w:rPr>
        <w:t xml:space="preserve"> Audit Committee</w:t>
      </w:r>
    </w:p>
    <w:p w14:paraId="264BC5E6" w14:textId="00ABC6AE" w:rsidR="008B7337"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rPr>
      </w:pPr>
      <w:r>
        <w:rPr>
          <w:rFonts w:ascii="Arial" w:eastAsia="MS PGothic" w:hAnsi="Arial"/>
          <w:b/>
          <w:color w:val="000000"/>
          <w:szCs w:val="24"/>
        </w:rPr>
        <w:t xml:space="preserve">Suveer Kothari, </w:t>
      </w:r>
      <w:r w:rsidRPr="0068381C">
        <w:rPr>
          <w:rFonts w:ascii="Arial" w:eastAsia="MS PGothic" w:hAnsi="Arial"/>
          <w:bCs/>
          <w:color w:val="000000"/>
          <w:szCs w:val="24"/>
        </w:rPr>
        <w:t>Board Fellow</w:t>
      </w:r>
    </w:p>
    <w:p w14:paraId="43F3DAD3" w14:textId="0B10694B" w:rsidR="008B7337"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lang w:val="it-IT"/>
        </w:rPr>
      </w:pPr>
      <w:r w:rsidRPr="000741AF">
        <w:rPr>
          <w:rFonts w:ascii="Arial" w:eastAsia="MS PGothic" w:hAnsi="Arial"/>
          <w:b/>
          <w:color w:val="000000"/>
          <w:szCs w:val="24"/>
          <w:lang w:val="it-IT"/>
        </w:rPr>
        <w:t xml:space="preserve">Nat Sloane, </w:t>
      </w:r>
      <w:r w:rsidRPr="0068381C">
        <w:rPr>
          <w:rFonts w:ascii="Arial" w:eastAsia="MS PGothic" w:hAnsi="Arial"/>
          <w:bCs/>
          <w:color w:val="000000"/>
          <w:szCs w:val="24"/>
          <w:lang w:val="it-IT"/>
        </w:rPr>
        <w:t xml:space="preserve">Non-Executive Director </w:t>
      </w:r>
    </w:p>
    <w:p w14:paraId="3AF2EB18" w14:textId="33F61B06" w:rsidR="008B7337"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rPr>
      </w:pPr>
      <w:r>
        <w:rPr>
          <w:rFonts w:ascii="Arial" w:eastAsia="MS PGothic" w:hAnsi="Arial"/>
          <w:b/>
          <w:color w:val="000000"/>
          <w:szCs w:val="24"/>
        </w:rPr>
        <w:t xml:space="preserve">Matthew Elderfield, </w:t>
      </w:r>
      <w:r w:rsidRPr="0068381C">
        <w:rPr>
          <w:rFonts w:ascii="Arial" w:eastAsia="MS PGothic" w:hAnsi="Arial"/>
          <w:bCs/>
          <w:color w:val="000000"/>
          <w:szCs w:val="24"/>
        </w:rPr>
        <w:t xml:space="preserve">Non-Executive Director </w:t>
      </w:r>
    </w:p>
    <w:p w14:paraId="1431CDE4" w14:textId="71E27DEF" w:rsidR="008B7337" w:rsidRPr="0068381C"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lang w:val="fr-FR"/>
        </w:rPr>
      </w:pPr>
      <w:proofErr w:type="spellStart"/>
      <w:r w:rsidRPr="000741AF">
        <w:rPr>
          <w:rFonts w:ascii="Arial" w:eastAsia="MS PGothic" w:hAnsi="Arial"/>
          <w:b/>
          <w:color w:val="000000"/>
          <w:szCs w:val="24"/>
          <w:lang w:val="fr-FR"/>
        </w:rPr>
        <w:t>Eilish</w:t>
      </w:r>
      <w:proofErr w:type="spellEnd"/>
      <w:r w:rsidRPr="000741AF">
        <w:rPr>
          <w:rFonts w:ascii="Arial" w:eastAsia="MS PGothic" w:hAnsi="Arial"/>
          <w:b/>
          <w:color w:val="000000"/>
          <w:szCs w:val="24"/>
          <w:lang w:val="fr-FR"/>
        </w:rPr>
        <w:t xml:space="preserve"> Jamieson, </w:t>
      </w:r>
      <w:r w:rsidRPr="0068381C">
        <w:rPr>
          <w:rFonts w:ascii="Arial" w:eastAsia="MS PGothic" w:hAnsi="Arial"/>
          <w:bCs/>
          <w:color w:val="000000"/>
          <w:szCs w:val="24"/>
          <w:lang w:val="fr-FR"/>
        </w:rPr>
        <w:t xml:space="preserve">Non-Executive </w:t>
      </w:r>
      <w:proofErr w:type="spellStart"/>
      <w:r w:rsidRPr="0068381C">
        <w:rPr>
          <w:rFonts w:ascii="Arial" w:eastAsia="MS PGothic" w:hAnsi="Arial"/>
          <w:bCs/>
          <w:color w:val="000000"/>
          <w:szCs w:val="24"/>
          <w:lang w:val="fr-FR"/>
        </w:rPr>
        <w:t>Director</w:t>
      </w:r>
      <w:proofErr w:type="spellEnd"/>
    </w:p>
    <w:p w14:paraId="1FC1B243" w14:textId="3F56B18A" w:rsidR="000741AF" w:rsidRPr="000741AF" w:rsidRDefault="000741AF" w:rsidP="0068381C">
      <w:pPr>
        <w:numPr>
          <w:ilvl w:val="0"/>
          <w:numId w:val="36"/>
        </w:numPr>
        <w:overflowPunct w:val="0"/>
        <w:autoSpaceDE w:val="0"/>
        <w:autoSpaceDN w:val="0"/>
        <w:adjustRightInd w:val="0"/>
        <w:spacing w:after="120"/>
        <w:ind w:left="852" w:hanging="284"/>
        <w:contextualSpacing/>
        <w:textAlignment w:val="baseline"/>
        <w:rPr>
          <w:rFonts w:ascii="Arial" w:eastAsia="MS PGothic" w:hAnsi="Arial"/>
          <w:bCs/>
          <w:color w:val="000000"/>
          <w:szCs w:val="24"/>
        </w:rPr>
      </w:pPr>
      <w:r w:rsidRPr="000741AF">
        <w:rPr>
          <w:rFonts w:ascii="Arial" w:eastAsia="MS PGothic" w:hAnsi="Arial"/>
          <w:b/>
          <w:color w:val="000000"/>
          <w:szCs w:val="24"/>
        </w:rPr>
        <w:t xml:space="preserve">Robert Razzell, </w:t>
      </w:r>
      <w:r w:rsidRPr="0068381C">
        <w:rPr>
          <w:rFonts w:ascii="Arial" w:eastAsia="MS PGothic" w:hAnsi="Arial"/>
          <w:bCs/>
          <w:color w:val="000000"/>
          <w:szCs w:val="24"/>
        </w:rPr>
        <w:t>Shareholder Representative Director</w:t>
      </w:r>
      <w:r>
        <w:rPr>
          <w:rFonts w:ascii="Arial" w:eastAsia="MS PGothic" w:hAnsi="Arial"/>
          <w:b/>
          <w:color w:val="000000"/>
          <w:szCs w:val="24"/>
        </w:rPr>
        <w:t xml:space="preserve"> </w:t>
      </w:r>
    </w:p>
    <w:bookmarkEnd w:id="5"/>
    <w:p w14:paraId="55B452F5" w14:textId="77777777" w:rsidR="008B7337" w:rsidRDefault="008B7337" w:rsidP="0068381C">
      <w:pPr>
        <w:overflowPunct w:val="0"/>
        <w:autoSpaceDE w:val="0"/>
        <w:autoSpaceDN w:val="0"/>
        <w:adjustRightInd w:val="0"/>
        <w:spacing w:line="240" w:lineRule="auto"/>
        <w:ind w:left="568"/>
        <w:contextualSpacing/>
        <w:textAlignment w:val="baseline"/>
        <w:rPr>
          <w:rFonts w:ascii="Arial" w:eastAsia="MS PGothic" w:hAnsi="Arial"/>
          <w:color w:val="000000"/>
          <w:szCs w:val="24"/>
          <w:highlight w:val="yellow"/>
        </w:rPr>
      </w:pPr>
    </w:p>
    <w:p w14:paraId="5BF62DF4" w14:textId="12E94451" w:rsidR="001C4F12" w:rsidRPr="00765283" w:rsidRDefault="001C4F12" w:rsidP="0068381C">
      <w:pPr>
        <w:overflowPunct w:val="0"/>
        <w:autoSpaceDE w:val="0"/>
        <w:autoSpaceDN w:val="0"/>
        <w:adjustRightInd w:val="0"/>
        <w:spacing w:line="240" w:lineRule="auto"/>
        <w:contextualSpacing/>
        <w:textAlignment w:val="baseline"/>
        <w:rPr>
          <w:rFonts w:ascii="Arial" w:eastAsia="MS PGothic" w:hAnsi="Arial"/>
          <w:color w:val="000000"/>
          <w:szCs w:val="24"/>
        </w:rPr>
      </w:pPr>
      <w:r w:rsidRPr="00765283">
        <w:rPr>
          <w:rFonts w:ascii="Arial" w:eastAsia="MS PGothic" w:hAnsi="Arial"/>
          <w:color w:val="000000"/>
          <w:szCs w:val="24"/>
        </w:rPr>
        <w:t xml:space="preserve">Detailed Board biographies can be found in </w:t>
      </w:r>
      <w:hyperlink w:anchor="BoardBios" w:history="1">
        <w:r w:rsidRPr="00765283">
          <w:rPr>
            <w:rStyle w:val="Hyperlink"/>
            <w:rFonts w:ascii="Arial" w:eastAsia="MS PGothic" w:hAnsi="Arial"/>
            <w:szCs w:val="24"/>
          </w:rPr>
          <w:t>Appendix I</w:t>
        </w:r>
      </w:hyperlink>
      <w:r w:rsidRPr="00765283">
        <w:rPr>
          <w:rFonts w:ascii="Arial" w:eastAsia="MS PGothic" w:hAnsi="Arial"/>
          <w:color w:val="000000"/>
          <w:szCs w:val="24"/>
        </w:rPr>
        <w:t>.</w:t>
      </w:r>
    </w:p>
    <w:bookmarkEnd w:id="6"/>
    <w:p w14:paraId="7F7004BC" w14:textId="77777777" w:rsidR="00E82316" w:rsidRDefault="00E82316" w:rsidP="00575B7B">
      <w:pPr>
        <w:keepNext/>
        <w:spacing w:before="240" w:line="216" w:lineRule="auto"/>
        <w:outlineLvl w:val="1"/>
        <w:rPr>
          <w:rFonts w:ascii="Arial" w:eastAsia="Arial" w:hAnsi="Arial"/>
          <w:b/>
          <w:bCs/>
          <w:iCs/>
          <w:color w:val="4A0080"/>
          <w:sz w:val="28"/>
          <w:szCs w:val="28"/>
        </w:rPr>
      </w:pPr>
    </w:p>
    <w:p w14:paraId="7E1F290B" w14:textId="00D82780" w:rsidR="008B7337" w:rsidRDefault="008B7337" w:rsidP="003F0028">
      <w:pPr>
        <w:keepNext/>
        <w:spacing w:before="240" w:after="120" w:line="216" w:lineRule="auto"/>
        <w:outlineLvl w:val="1"/>
        <w:rPr>
          <w:rFonts w:ascii="Arial" w:eastAsia="Arial" w:hAnsi="Arial"/>
          <w:b/>
          <w:bCs/>
          <w:iCs/>
          <w:color w:val="4A0080"/>
          <w:sz w:val="28"/>
          <w:szCs w:val="28"/>
        </w:rPr>
      </w:pPr>
      <w:r w:rsidRPr="006422A7">
        <w:rPr>
          <w:rFonts w:ascii="Arial" w:eastAsia="Arial" w:hAnsi="Arial"/>
          <w:b/>
          <w:bCs/>
          <w:iCs/>
          <w:color w:val="4A0080"/>
          <w:sz w:val="28"/>
          <w:szCs w:val="28"/>
        </w:rPr>
        <w:t>The Role</w:t>
      </w:r>
    </w:p>
    <w:p w14:paraId="3AD94358" w14:textId="1EC6A8C3" w:rsidR="00021A7A" w:rsidRPr="00021A7A" w:rsidRDefault="00021A7A" w:rsidP="00021A7A">
      <w:pPr>
        <w:pStyle w:val="NoSpacing"/>
        <w:jc w:val="both"/>
        <w:rPr>
          <w:sz w:val="20"/>
          <w:szCs w:val="20"/>
        </w:rPr>
      </w:pPr>
      <w:r w:rsidRPr="00021A7A">
        <w:rPr>
          <w:sz w:val="20"/>
          <w:szCs w:val="20"/>
        </w:rPr>
        <w:t>As Chair of Remuneration Committee, th</w:t>
      </w:r>
      <w:r w:rsidR="00DF44B5">
        <w:rPr>
          <w:sz w:val="20"/>
          <w:szCs w:val="20"/>
        </w:rPr>
        <w:t>is individual</w:t>
      </w:r>
      <w:r w:rsidRPr="00021A7A">
        <w:rPr>
          <w:sz w:val="20"/>
          <w:szCs w:val="20"/>
        </w:rPr>
        <w:t xml:space="preserve"> will ensure that the Committee makes recommendations to the Board on the Remuneration Policy of the Bank</w:t>
      </w:r>
    </w:p>
    <w:p w14:paraId="3BF94828" w14:textId="77777777" w:rsidR="00021A7A" w:rsidRPr="00021A7A" w:rsidRDefault="00021A7A" w:rsidP="00021A7A">
      <w:pPr>
        <w:pStyle w:val="NoSpacing"/>
        <w:jc w:val="both"/>
        <w:rPr>
          <w:sz w:val="20"/>
          <w:szCs w:val="20"/>
        </w:rPr>
      </w:pPr>
    </w:p>
    <w:p w14:paraId="6552016B" w14:textId="77777777" w:rsidR="00021A7A" w:rsidRPr="00021A7A" w:rsidRDefault="00021A7A" w:rsidP="00021A7A">
      <w:pPr>
        <w:pStyle w:val="NoSpacing"/>
        <w:jc w:val="both"/>
        <w:rPr>
          <w:sz w:val="20"/>
          <w:szCs w:val="20"/>
        </w:rPr>
      </w:pPr>
      <w:r w:rsidRPr="00021A7A">
        <w:rPr>
          <w:sz w:val="20"/>
          <w:szCs w:val="20"/>
        </w:rPr>
        <w:t>They will also act as Non-Executive Director of the Bank and will be expected to play an active and integral part in the long-term success and the strategy of the Bank, given the collective responsibility of the Board. As a fully functioning financial services entity,</w:t>
      </w:r>
      <w:r w:rsidRPr="00021A7A">
        <w:rPr>
          <w:spacing w:val="-12"/>
          <w:sz w:val="20"/>
          <w:szCs w:val="20"/>
        </w:rPr>
        <w:t xml:space="preserve"> </w:t>
      </w:r>
      <w:r w:rsidRPr="00021A7A">
        <w:rPr>
          <w:sz w:val="20"/>
          <w:szCs w:val="20"/>
        </w:rPr>
        <w:t>the</w:t>
      </w:r>
      <w:r w:rsidRPr="00021A7A">
        <w:rPr>
          <w:spacing w:val="-12"/>
          <w:sz w:val="20"/>
          <w:szCs w:val="20"/>
        </w:rPr>
        <w:t xml:space="preserve"> </w:t>
      </w:r>
      <w:r w:rsidRPr="00021A7A">
        <w:rPr>
          <w:sz w:val="20"/>
          <w:szCs w:val="20"/>
        </w:rPr>
        <w:t>role</w:t>
      </w:r>
      <w:r w:rsidRPr="00021A7A">
        <w:rPr>
          <w:spacing w:val="-12"/>
          <w:sz w:val="20"/>
          <w:szCs w:val="20"/>
        </w:rPr>
        <w:t xml:space="preserve"> </w:t>
      </w:r>
      <w:r w:rsidRPr="00021A7A">
        <w:rPr>
          <w:sz w:val="20"/>
          <w:szCs w:val="20"/>
        </w:rPr>
        <w:t>holder</w:t>
      </w:r>
      <w:r w:rsidRPr="00021A7A">
        <w:rPr>
          <w:spacing w:val="-12"/>
          <w:sz w:val="20"/>
          <w:szCs w:val="20"/>
        </w:rPr>
        <w:t xml:space="preserve"> </w:t>
      </w:r>
      <w:r w:rsidRPr="00021A7A">
        <w:rPr>
          <w:sz w:val="20"/>
          <w:szCs w:val="20"/>
        </w:rPr>
        <w:t>should</w:t>
      </w:r>
      <w:r w:rsidRPr="00021A7A">
        <w:rPr>
          <w:spacing w:val="-11"/>
          <w:sz w:val="20"/>
          <w:szCs w:val="20"/>
        </w:rPr>
        <w:t xml:space="preserve"> </w:t>
      </w:r>
      <w:r w:rsidRPr="00021A7A">
        <w:rPr>
          <w:sz w:val="20"/>
          <w:szCs w:val="20"/>
        </w:rPr>
        <w:t>be</w:t>
      </w:r>
      <w:r w:rsidRPr="00021A7A">
        <w:rPr>
          <w:spacing w:val="-14"/>
          <w:sz w:val="20"/>
          <w:szCs w:val="20"/>
        </w:rPr>
        <w:t xml:space="preserve"> </w:t>
      </w:r>
      <w:r w:rsidRPr="00021A7A">
        <w:rPr>
          <w:sz w:val="20"/>
          <w:szCs w:val="20"/>
        </w:rPr>
        <w:t>able</w:t>
      </w:r>
      <w:r w:rsidRPr="00021A7A">
        <w:rPr>
          <w:spacing w:val="-14"/>
          <w:sz w:val="20"/>
          <w:szCs w:val="20"/>
        </w:rPr>
        <w:t xml:space="preserve"> </w:t>
      </w:r>
      <w:r w:rsidRPr="00021A7A">
        <w:rPr>
          <w:sz w:val="20"/>
          <w:szCs w:val="20"/>
        </w:rPr>
        <w:t>to</w:t>
      </w:r>
      <w:r w:rsidRPr="00021A7A">
        <w:rPr>
          <w:spacing w:val="-12"/>
          <w:sz w:val="20"/>
          <w:szCs w:val="20"/>
        </w:rPr>
        <w:t xml:space="preserve"> </w:t>
      </w:r>
      <w:r w:rsidRPr="00021A7A">
        <w:rPr>
          <w:sz w:val="20"/>
          <w:szCs w:val="20"/>
        </w:rPr>
        <w:t>contribute</w:t>
      </w:r>
      <w:r w:rsidRPr="00021A7A">
        <w:rPr>
          <w:spacing w:val="-11"/>
          <w:sz w:val="20"/>
          <w:szCs w:val="20"/>
        </w:rPr>
        <w:t xml:space="preserve"> </w:t>
      </w:r>
      <w:r w:rsidRPr="00021A7A">
        <w:rPr>
          <w:sz w:val="20"/>
          <w:szCs w:val="20"/>
        </w:rPr>
        <w:t>to</w:t>
      </w:r>
      <w:r w:rsidRPr="00021A7A">
        <w:rPr>
          <w:spacing w:val="-12"/>
          <w:sz w:val="20"/>
          <w:szCs w:val="20"/>
        </w:rPr>
        <w:t xml:space="preserve"> </w:t>
      </w:r>
      <w:r w:rsidRPr="00021A7A">
        <w:rPr>
          <w:sz w:val="20"/>
          <w:szCs w:val="20"/>
        </w:rPr>
        <w:t>matters</w:t>
      </w:r>
      <w:r w:rsidRPr="00021A7A">
        <w:rPr>
          <w:spacing w:val="-14"/>
          <w:sz w:val="20"/>
          <w:szCs w:val="20"/>
        </w:rPr>
        <w:t xml:space="preserve"> </w:t>
      </w:r>
      <w:r w:rsidRPr="00021A7A">
        <w:rPr>
          <w:sz w:val="20"/>
          <w:szCs w:val="20"/>
        </w:rPr>
        <w:t>ranging,</w:t>
      </w:r>
      <w:r w:rsidRPr="00021A7A">
        <w:rPr>
          <w:spacing w:val="-12"/>
          <w:sz w:val="20"/>
          <w:szCs w:val="20"/>
        </w:rPr>
        <w:t xml:space="preserve"> </w:t>
      </w:r>
      <w:r w:rsidRPr="00021A7A">
        <w:rPr>
          <w:sz w:val="20"/>
          <w:szCs w:val="20"/>
        </w:rPr>
        <w:t>for</w:t>
      </w:r>
      <w:r w:rsidRPr="00021A7A">
        <w:rPr>
          <w:spacing w:val="-12"/>
          <w:sz w:val="20"/>
          <w:szCs w:val="20"/>
        </w:rPr>
        <w:t xml:space="preserve"> </w:t>
      </w:r>
      <w:r w:rsidRPr="00021A7A">
        <w:rPr>
          <w:sz w:val="20"/>
          <w:szCs w:val="20"/>
        </w:rPr>
        <w:t>example,</w:t>
      </w:r>
      <w:r w:rsidRPr="00021A7A">
        <w:rPr>
          <w:spacing w:val="-12"/>
          <w:sz w:val="20"/>
          <w:szCs w:val="20"/>
        </w:rPr>
        <w:t xml:space="preserve"> </w:t>
      </w:r>
      <w:r w:rsidRPr="00021A7A">
        <w:rPr>
          <w:sz w:val="20"/>
          <w:szCs w:val="20"/>
        </w:rPr>
        <w:t>from the</w:t>
      </w:r>
      <w:r w:rsidRPr="00021A7A">
        <w:rPr>
          <w:spacing w:val="-10"/>
          <w:sz w:val="20"/>
          <w:szCs w:val="20"/>
        </w:rPr>
        <w:t xml:space="preserve"> </w:t>
      </w:r>
      <w:r w:rsidRPr="00021A7A">
        <w:rPr>
          <w:sz w:val="20"/>
          <w:szCs w:val="20"/>
        </w:rPr>
        <w:t>challenges</w:t>
      </w:r>
      <w:r w:rsidRPr="00021A7A">
        <w:rPr>
          <w:spacing w:val="-8"/>
          <w:sz w:val="20"/>
          <w:szCs w:val="20"/>
        </w:rPr>
        <w:t xml:space="preserve"> </w:t>
      </w:r>
      <w:r w:rsidRPr="00021A7A">
        <w:rPr>
          <w:sz w:val="20"/>
          <w:szCs w:val="20"/>
        </w:rPr>
        <w:t>facing</w:t>
      </w:r>
      <w:r w:rsidRPr="00021A7A">
        <w:rPr>
          <w:spacing w:val="-8"/>
          <w:sz w:val="20"/>
          <w:szCs w:val="20"/>
        </w:rPr>
        <w:t xml:space="preserve"> </w:t>
      </w:r>
      <w:r w:rsidRPr="00021A7A">
        <w:rPr>
          <w:sz w:val="20"/>
          <w:szCs w:val="20"/>
        </w:rPr>
        <w:t>SMEs</w:t>
      </w:r>
      <w:r w:rsidRPr="00021A7A">
        <w:rPr>
          <w:spacing w:val="-8"/>
          <w:sz w:val="20"/>
          <w:szCs w:val="20"/>
        </w:rPr>
        <w:t xml:space="preserve"> </w:t>
      </w:r>
      <w:r w:rsidRPr="00021A7A">
        <w:rPr>
          <w:sz w:val="20"/>
          <w:szCs w:val="20"/>
        </w:rPr>
        <w:t>with</w:t>
      </w:r>
      <w:r w:rsidRPr="00021A7A">
        <w:rPr>
          <w:spacing w:val="-9"/>
          <w:sz w:val="20"/>
          <w:szCs w:val="20"/>
        </w:rPr>
        <w:t xml:space="preserve"> </w:t>
      </w:r>
      <w:r w:rsidRPr="00021A7A">
        <w:rPr>
          <w:sz w:val="20"/>
          <w:szCs w:val="20"/>
        </w:rPr>
        <w:t>respect</w:t>
      </w:r>
      <w:r w:rsidRPr="00021A7A">
        <w:rPr>
          <w:spacing w:val="-9"/>
          <w:sz w:val="20"/>
          <w:szCs w:val="20"/>
        </w:rPr>
        <w:t xml:space="preserve"> </w:t>
      </w:r>
      <w:r w:rsidRPr="00021A7A">
        <w:rPr>
          <w:sz w:val="20"/>
          <w:szCs w:val="20"/>
        </w:rPr>
        <w:t>to</w:t>
      </w:r>
      <w:r w:rsidRPr="00021A7A">
        <w:rPr>
          <w:spacing w:val="-7"/>
          <w:sz w:val="20"/>
          <w:szCs w:val="20"/>
        </w:rPr>
        <w:t xml:space="preserve"> </w:t>
      </w:r>
      <w:r w:rsidRPr="00021A7A">
        <w:rPr>
          <w:sz w:val="20"/>
          <w:szCs w:val="20"/>
        </w:rPr>
        <w:t>finance,</w:t>
      </w:r>
      <w:r w:rsidRPr="00021A7A">
        <w:rPr>
          <w:spacing w:val="-7"/>
          <w:sz w:val="20"/>
          <w:szCs w:val="20"/>
        </w:rPr>
        <w:t xml:space="preserve"> </w:t>
      </w:r>
      <w:r w:rsidRPr="00021A7A">
        <w:rPr>
          <w:sz w:val="20"/>
          <w:szCs w:val="20"/>
        </w:rPr>
        <w:t>the</w:t>
      </w:r>
      <w:r w:rsidRPr="00021A7A">
        <w:rPr>
          <w:spacing w:val="-10"/>
          <w:sz w:val="20"/>
          <w:szCs w:val="20"/>
        </w:rPr>
        <w:t xml:space="preserve"> </w:t>
      </w:r>
      <w:r w:rsidRPr="00021A7A">
        <w:rPr>
          <w:sz w:val="20"/>
          <w:szCs w:val="20"/>
        </w:rPr>
        <w:t>management</w:t>
      </w:r>
      <w:r w:rsidRPr="00021A7A">
        <w:rPr>
          <w:spacing w:val="-9"/>
          <w:sz w:val="20"/>
          <w:szCs w:val="20"/>
        </w:rPr>
        <w:t xml:space="preserve"> </w:t>
      </w:r>
      <w:r w:rsidRPr="00021A7A">
        <w:rPr>
          <w:sz w:val="20"/>
          <w:szCs w:val="20"/>
        </w:rPr>
        <w:t>of</w:t>
      </w:r>
      <w:r w:rsidRPr="00021A7A">
        <w:rPr>
          <w:spacing w:val="-8"/>
          <w:sz w:val="20"/>
          <w:szCs w:val="20"/>
        </w:rPr>
        <w:t xml:space="preserve"> </w:t>
      </w:r>
      <w:r w:rsidRPr="00021A7A">
        <w:rPr>
          <w:sz w:val="20"/>
          <w:szCs w:val="20"/>
        </w:rPr>
        <w:t>a</w:t>
      </w:r>
      <w:r w:rsidRPr="00021A7A">
        <w:rPr>
          <w:spacing w:val="-9"/>
          <w:sz w:val="20"/>
          <w:szCs w:val="20"/>
        </w:rPr>
        <w:t xml:space="preserve"> </w:t>
      </w:r>
      <w:r w:rsidRPr="00021A7A">
        <w:rPr>
          <w:sz w:val="20"/>
          <w:szCs w:val="20"/>
        </w:rPr>
        <w:t>wide</w:t>
      </w:r>
      <w:r w:rsidRPr="00021A7A">
        <w:rPr>
          <w:spacing w:val="-7"/>
          <w:sz w:val="20"/>
          <w:szCs w:val="20"/>
        </w:rPr>
        <w:t xml:space="preserve"> </w:t>
      </w:r>
      <w:r w:rsidRPr="00021A7A">
        <w:rPr>
          <w:sz w:val="20"/>
          <w:szCs w:val="20"/>
        </w:rPr>
        <w:t>variety</w:t>
      </w:r>
      <w:r w:rsidRPr="00021A7A">
        <w:rPr>
          <w:spacing w:val="-9"/>
          <w:sz w:val="20"/>
          <w:szCs w:val="20"/>
        </w:rPr>
        <w:t xml:space="preserve"> </w:t>
      </w:r>
      <w:r w:rsidRPr="00021A7A">
        <w:rPr>
          <w:sz w:val="20"/>
          <w:szCs w:val="20"/>
        </w:rPr>
        <w:t>of risks and the technological challenges facing today’s financial services industry</w:t>
      </w:r>
    </w:p>
    <w:p w14:paraId="1BEA2B0A" w14:textId="77777777" w:rsidR="00356E10" w:rsidRDefault="00356E10" w:rsidP="00021A7A">
      <w:pPr>
        <w:pStyle w:val="NoSpacing"/>
        <w:jc w:val="both"/>
        <w:rPr>
          <w:sz w:val="20"/>
          <w:szCs w:val="20"/>
        </w:rPr>
      </w:pPr>
    </w:p>
    <w:p w14:paraId="1737C4F0" w14:textId="25D9499F" w:rsidR="00021A7A" w:rsidRPr="00021A7A" w:rsidRDefault="00021A7A" w:rsidP="00021A7A">
      <w:pPr>
        <w:pStyle w:val="NoSpacing"/>
        <w:jc w:val="both"/>
        <w:rPr>
          <w:sz w:val="20"/>
          <w:szCs w:val="20"/>
        </w:rPr>
      </w:pPr>
      <w:r w:rsidRPr="00021A7A">
        <w:rPr>
          <w:sz w:val="20"/>
          <w:szCs w:val="20"/>
        </w:rPr>
        <w:t>The successful candidate/s will:</w:t>
      </w:r>
    </w:p>
    <w:p w14:paraId="518AD84B" w14:textId="77777777" w:rsidR="00021A7A" w:rsidRPr="00021A7A" w:rsidRDefault="00021A7A" w:rsidP="00021A7A">
      <w:pPr>
        <w:pStyle w:val="NoSpacing"/>
        <w:jc w:val="both"/>
        <w:rPr>
          <w:sz w:val="20"/>
          <w:szCs w:val="20"/>
        </w:rPr>
      </w:pPr>
    </w:p>
    <w:p w14:paraId="56989C6C" w14:textId="77777777"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Have responsibility for setting remuneration policy for the company’s Executive Board Directors and Chair (subject to Secretary of State approval). The remuneration of the Chair shall be set by Ministers.</w:t>
      </w:r>
    </w:p>
    <w:p w14:paraId="37B5B9A5" w14:textId="77777777"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Provide oversight, challenge, review and make recommendations to the Board/Company Chair regarding the broader remuneration policy and practices for the company’s employees, including pension rights and any compensation payments.</w:t>
      </w:r>
    </w:p>
    <w:p w14:paraId="519FC3AF" w14:textId="77777777" w:rsidR="00021A7A" w:rsidRPr="00021A7A" w:rsidRDefault="00021A7A" w:rsidP="00021A7A">
      <w:pPr>
        <w:numPr>
          <w:ilvl w:val="0"/>
          <w:numId w:val="38"/>
        </w:numPr>
        <w:spacing w:after="120" w:line="240" w:lineRule="auto"/>
        <w:ind w:left="714" w:hanging="357"/>
        <w:jc w:val="both"/>
        <w:rPr>
          <w:rFonts w:eastAsia="Times New Roman"/>
        </w:rPr>
      </w:pPr>
      <w:r w:rsidRPr="00021A7A">
        <w:rPr>
          <w:rFonts w:eastAsia="Times New Roman"/>
        </w:rPr>
        <w:t xml:space="preserve">Work closely with legal, compliance and HR teams to ensure that the Bank's remuneration policies and practices for the new legal entity ‘Patient Capital Advisory Services’ (PCAS) comply with all relevant regulatory requirements, including FCA standards and MIFIDPRU guidelines. This will include the implementation of the new Long Term Incentive Plan that will be introduced for staff working on the new ‘Growth Fund’. </w:t>
      </w:r>
    </w:p>
    <w:p w14:paraId="7922FB1E" w14:textId="2DB40EEF" w:rsidR="00021A7A" w:rsidRPr="00021A7A" w:rsidRDefault="00021A7A" w:rsidP="00021A7A">
      <w:pPr>
        <w:numPr>
          <w:ilvl w:val="0"/>
          <w:numId w:val="38"/>
        </w:numPr>
        <w:spacing w:after="120" w:line="240" w:lineRule="auto"/>
        <w:ind w:left="714" w:hanging="357"/>
        <w:jc w:val="both"/>
        <w:rPr>
          <w:rFonts w:eastAsia="Times New Roman"/>
        </w:rPr>
      </w:pPr>
      <w:r w:rsidRPr="00021A7A">
        <w:rPr>
          <w:rFonts w:eastAsia="Times New Roman"/>
        </w:rPr>
        <w:t xml:space="preserve">Work with </w:t>
      </w:r>
      <w:r w:rsidR="00DF44B5">
        <w:rPr>
          <w:rFonts w:eastAsia="Times New Roman"/>
        </w:rPr>
        <w:t xml:space="preserve">the </w:t>
      </w:r>
      <w:r w:rsidRPr="00021A7A">
        <w:rPr>
          <w:rFonts w:eastAsia="Times New Roman"/>
        </w:rPr>
        <w:t>HR team to oversee the remuneration of individuals holding Senior Management Functions (SMF) roles and ensure alignment with the FCA’s Senior Managers and Certification Regime (SMCR).</w:t>
      </w:r>
    </w:p>
    <w:p w14:paraId="4E08B957" w14:textId="6FADC2C2"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Prepare the Remuneration Committee meeting agendas, in conjunction with the Company Secretary and Reward Director, to ensure all required business is brought before the Committee to enable it to efficiently carry out its duties and responsibilities</w:t>
      </w:r>
      <w:r w:rsidR="00DF44B5">
        <w:rPr>
          <w:sz w:val="20"/>
          <w:szCs w:val="20"/>
        </w:rPr>
        <w:t>.</w:t>
      </w:r>
    </w:p>
    <w:p w14:paraId="3FBB19CB" w14:textId="781587CE"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Establish procedures to govern the Remuneration Committee's work and ensure the Committee fully discharges its duties</w:t>
      </w:r>
      <w:r w:rsidR="00DF44B5">
        <w:rPr>
          <w:sz w:val="20"/>
          <w:szCs w:val="20"/>
        </w:rPr>
        <w:t>.</w:t>
      </w:r>
    </w:p>
    <w:p w14:paraId="07D95CC3" w14:textId="6D07E970"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lastRenderedPageBreak/>
        <w:t>Ensure that there is an effective relationship between senior management and the members of the Remuneration Committee</w:t>
      </w:r>
      <w:r w:rsidR="00DF44B5">
        <w:rPr>
          <w:sz w:val="20"/>
          <w:szCs w:val="20"/>
        </w:rPr>
        <w:t>.</w:t>
      </w:r>
    </w:p>
    <w:p w14:paraId="38C85A6A" w14:textId="6393546A"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Report to the Board on the matters reviewed by, and on any decisions or recommendations of, the Remuneration Committee at the next meeting of the Board following any meeting of the Committee</w:t>
      </w:r>
      <w:r w:rsidR="00DF44B5">
        <w:rPr>
          <w:sz w:val="20"/>
          <w:szCs w:val="20"/>
        </w:rPr>
        <w:t>.</w:t>
      </w:r>
    </w:p>
    <w:p w14:paraId="79416979" w14:textId="261A418C"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Chair meetings of the Remuneration Committee and encourage a free and open discussion at the meetings</w:t>
      </w:r>
      <w:r w:rsidR="00DF44B5">
        <w:rPr>
          <w:sz w:val="20"/>
          <w:szCs w:val="20"/>
        </w:rPr>
        <w:t>.</w:t>
      </w:r>
    </w:p>
    <w:p w14:paraId="5D784669" w14:textId="77777777" w:rsidR="00021A7A" w:rsidRPr="00021A7A" w:rsidRDefault="00021A7A" w:rsidP="00021A7A">
      <w:pPr>
        <w:pStyle w:val="NoSpacing"/>
        <w:numPr>
          <w:ilvl w:val="0"/>
          <w:numId w:val="38"/>
        </w:numPr>
        <w:spacing w:after="120"/>
        <w:ind w:left="714" w:hanging="357"/>
        <w:jc w:val="both"/>
        <w:rPr>
          <w:sz w:val="20"/>
          <w:szCs w:val="20"/>
        </w:rPr>
      </w:pPr>
      <w:r w:rsidRPr="00021A7A">
        <w:rPr>
          <w:sz w:val="20"/>
          <w:szCs w:val="20"/>
        </w:rPr>
        <w:t xml:space="preserve">Understand the constraints on public sector pay whilst engaging with Government officials and ministers. </w:t>
      </w:r>
    </w:p>
    <w:p w14:paraId="05CA7617" w14:textId="77777777" w:rsidR="00BB635B" w:rsidRDefault="00BB635B" w:rsidP="003F0028">
      <w:pPr>
        <w:keepNext/>
        <w:spacing w:before="240" w:after="120" w:line="216" w:lineRule="auto"/>
        <w:outlineLvl w:val="1"/>
        <w:rPr>
          <w:rFonts w:ascii="Arial" w:eastAsia="Arial" w:hAnsi="Arial"/>
          <w:b/>
          <w:bCs/>
          <w:iCs/>
          <w:color w:val="4A0080"/>
          <w:sz w:val="28"/>
          <w:szCs w:val="28"/>
        </w:rPr>
      </w:pPr>
    </w:p>
    <w:p w14:paraId="590E6310" w14:textId="082B723E" w:rsidR="008B7337" w:rsidRDefault="008B7337" w:rsidP="003F0028">
      <w:pPr>
        <w:keepNext/>
        <w:spacing w:before="240" w:after="120" w:line="216" w:lineRule="auto"/>
        <w:outlineLvl w:val="1"/>
        <w:rPr>
          <w:rFonts w:ascii="Arial" w:eastAsia="Arial" w:hAnsi="Arial"/>
          <w:b/>
          <w:bCs/>
          <w:iCs/>
          <w:color w:val="4A0080"/>
          <w:sz w:val="28"/>
          <w:szCs w:val="28"/>
        </w:rPr>
      </w:pPr>
      <w:r w:rsidRPr="006422A7">
        <w:rPr>
          <w:rFonts w:ascii="Arial" w:eastAsia="Arial" w:hAnsi="Arial"/>
          <w:b/>
          <w:bCs/>
          <w:iCs/>
          <w:color w:val="4A0080"/>
          <w:sz w:val="28"/>
          <w:szCs w:val="28"/>
        </w:rPr>
        <w:t xml:space="preserve">Candidate Profile </w:t>
      </w:r>
    </w:p>
    <w:p w14:paraId="1B2A4369" w14:textId="77777777" w:rsidR="00E66471" w:rsidRPr="00E66471" w:rsidRDefault="00E66471" w:rsidP="00E66471">
      <w:pPr>
        <w:pStyle w:val="NoSpacing"/>
        <w:jc w:val="both"/>
        <w:rPr>
          <w:sz w:val="20"/>
          <w:szCs w:val="20"/>
        </w:rPr>
      </w:pPr>
      <w:r w:rsidRPr="00E66471">
        <w:rPr>
          <w:sz w:val="20"/>
          <w:szCs w:val="20"/>
        </w:rPr>
        <w:t>It is important that the new appointees both understand and are aligned to the mission of the new vehicle and the wider future strategic aims of PCAS, appreciating the legal and regulatory parameters within which it operates.</w:t>
      </w:r>
    </w:p>
    <w:p w14:paraId="3F68CF16" w14:textId="77777777" w:rsidR="00E66471" w:rsidRPr="00E66471" w:rsidRDefault="00E66471" w:rsidP="00E66471">
      <w:pPr>
        <w:pStyle w:val="NoSpacing"/>
        <w:jc w:val="both"/>
        <w:rPr>
          <w:sz w:val="20"/>
          <w:szCs w:val="20"/>
        </w:rPr>
      </w:pPr>
    </w:p>
    <w:p w14:paraId="32DD64D2" w14:textId="342586B1" w:rsidR="00E66471" w:rsidRPr="00E66471" w:rsidRDefault="00E66471" w:rsidP="00E66471">
      <w:pPr>
        <w:pStyle w:val="NoSpacing"/>
        <w:jc w:val="both"/>
        <w:rPr>
          <w:sz w:val="20"/>
          <w:szCs w:val="20"/>
        </w:rPr>
      </w:pPr>
      <w:r w:rsidRPr="00E66471">
        <w:rPr>
          <w:sz w:val="20"/>
          <w:szCs w:val="20"/>
        </w:rPr>
        <w:t>The ideal candidate will possess a</w:t>
      </w:r>
      <w:r w:rsidR="00356E10">
        <w:rPr>
          <w:sz w:val="20"/>
          <w:szCs w:val="20"/>
        </w:rPr>
        <w:t xml:space="preserve"> </w:t>
      </w:r>
      <w:r w:rsidR="005C1EAB">
        <w:rPr>
          <w:sz w:val="20"/>
          <w:szCs w:val="20"/>
        </w:rPr>
        <w:t xml:space="preserve">proven track record of strategic leadership in complex organisations, </w:t>
      </w:r>
      <w:r w:rsidR="00356E10" w:rsidRPr="00E66471">
        <w:rPr>
          <w:sz w:val="20"/>
          <w:szCs w:val="20"/>
        </w:rPr>
        <w:t>substantial experience in FCA-regulated environments</w:t>
      </w:r>
      <w:r w:rsidR="00356E10">
        <w:rPr>
          <w:sz w:val="20"/>
          <w:szCs w:val="20"/>
        </w:rPr>
        <w:t xml:space="preserve">, and </w:t>
      </w:r>
      <w:r w:rsidR="005C1EAB">
        <w:rPr>
          <w:sz w:val="20"/>
          <w:szCs w:val="20"/>
        </w:rPr>
        <w:t>a sound knowledge of private market</w:t>
      </w:r>
      <w:r w:rsidR="00356E10">
        <w:rPr>
          <w:sz w:val="20"/>
          <w:szCs w:val="20"/>
        </w:rPr>
        <w:t xml:space="preserve"> investing</w:t>
      </w:r>
      <w:r w:rsidR="005C1EAB">
        <w:rPr>
          <w:sz w:val="20"/>
          <w:szCs w:val="20"/>
        </w:rPr>
        <w:t xml:space="preserve"> and MFIDPRU guidelines</w:t>
      </w:r>
      <w:r w:rsidRPr="00E66471">
        <w:rPr>
          <w:sz w:val="20"/>
          <w:szCs w:val="20"/>
        </w:rPr>
        <w:t>. They should demonstrate a deep understanding of corporate governance and risk management principle</w:t>
      </w:r>
      <w:r w:rsidR="00DF44B5">
        <w:rPr>
          <w:sz w:val="20"/>
          <w:szCs w:val="20"/>
        </w:rPr>
        <w:t>s.</w:t>
      </w:r>
    </w:p>
    <w:p w14:paraId="7271A05B" w14:textId="77777777" w:rsidR="00E66471" w:rsidRPr="00E66471" w:rsidRDefault="00E66471" w:rsidP="00E66471">
      <w:pPr>
        <w:pStyle w:val="NoSpacing"/>
        <w:jc w:val="both"/>
        <w:rPr>
          <w:sz w:val="20"/>
          <w:szCs w:val="20"/>
        </w:rPr>
      </w:pPr>
    </w:p>
    <w:p w14:paraId="0C21BB9F" w14:textId="77777777" w:rsidR="00E66471" w:rsidRPr="00E66471" w:rsidRDefault="00E66471" w:rsidP="00E66471">
      <w:pPr>
        <w:pStyle w:val="NoSpacing"/>
        <w:jc w:val="both"/>
        <w:rPr>
          <w:sz w:val="20"/>
          <w:szCs w:val="20"/>
        </w:rPr>
      </w:pPr>
      <w:r w:rsidRPr="00E66471">
        <w:rPr>
          <w:b/>
          <w:bCs/>
          <w:sz w:val="20"/>
          <w:szCs w:val="20"/>
        </w:rPr>
        <w:t>Relevant Professional Experience</w:t>
      </w:r>
      <w:r w:rsidRPr="00E66471">
        <w:rPr>
          <w:sz w:val="20"/>
          <w:szCs w:val="20"/>
        </w:rPr>
        <w:t>:</w:t>
      </w:r>
    </w:p>
    <w:p w14:paraId="05278048" w14:textId="77777777" w:rsidR="00E66471" w:rsidRPr="00E66471" w:rsidRDefault="00E66471" w:rsidP="00E66471">
      <w:pPr>
        <w:pStyle w:val="NoSpacing"/>
        <w:jc w:val="both"/>
        <w:rPr>
          <w:sz w:val="20"/>
          <w:szCs w:val="20"/>
        </w:rPr>
      </w:pPr>
    </w:p>
    <w:p w14:paraId="57710280" w14:textId="1EACFA70" w:rsidR="00E66471" w:rsidRPr="00E66471" w:rsidRDefault="00E66471" w:rsidP="00E66471">
      <w:pPr>
        <w:pStyle w:val="ListParagraph"/>
        <w:numPr>
          <w:ilvl w:val="0"/>
          <w:numId w:val="39"/>
        </w:numPr>
        <w:spacing w:line="259" w:lineRule="auto"/>
        <w:ind w:left="714" w:hanging="357"/>
        <w:contextualSpacing w:val="0"/>
        <w:jc w:val="both"/>
      </w:pPr>
      <w:r w:rsidRPr="000002E4">
        <w:rPr>
          <w:b/>
          <w:bCs/>
        </w:rPr>
        <w:t>Remuneration Committee</w:t>
      </w:r>
      <w:r w:rsidRPr="00E66471">
        <w:t xml:space="preserve">: at least one-year experience as a member of a Remuneration Committee. </w:t>
      </w:r>
    </w:p>
    <w:p w14:paraId="2579D91F" w14:textId="15EA93B9" w:rsidR="00E66471" w:rsidRPr="00E66471" w:rsidRDefault="00E66471" w:rsidP="00E66471">
      <w:pPr>
        <w:pStyle w:val="ListParagraph"/>
        <w:numPr>
          <w:ilvl w:val="0"/>
          <w:numId w:val="39"/>
        </w:numPr>
        <w:spacing w:line="259" w:lineRule="auto"/>
        <w:ind w:left="714" w:hanging="357"/>
        <w:contextualSpacing w:val="0"/>
        <w:jc w:val="both"/>
      </w:pPr>
      <w:r w:rsidRPr="000002E4">
        <w:rPr>
          <w:b/>
          <w:bCs/>
        </w:rPr>
        <w:t>Senior Experience</w:t>
      </w:r>
      <w:r w:rsidRPr="00E66471">
        <w:t>: Proven experience as a director or senior executive within financial services.</w:t>
      </w:r>
    </w:p>
    <w:p w14:paraId="4E8B2DF6" w14:textId="77777777" w:rsidR="00E66471" w:rsidRPr="00E66471" w:rsidRDefault="00E66471" w:rsidP="00E66471">
      <w:pPr>
        <w:pStyle w:val="ListParagraph"/>
        <w:numPr>
          <w:ilvl w:val="0"/>
          <w:numId w:val="39"/>
        </w:numPr>
        <w:spacing w:line="259" w:lineRule="auto"/>
        <w:ind w:left="714" w:hanging="357"/>
        <w:contextualSpacing w:val="0"/>
        <w:jc w:val="both"/>
      </w:pPr>
      <w:r w:rsidRPr="000002E4">
        <w:rPr>
          <w:b/>
          <w:bCs/>
        </w:rPr>
        <w:t>Independent Judgment</w:t>
      </w:r>
      <w:r w:rsidRPr="00E66471">
        <w:t>: Demonstrated ability to exercise independent judgment and provide objective oversight.</w:t>
      </w:r>
    </w:p>
    <w:p w14:paraId="4C6F1CF2" w14:textId="77777777" w:rsidR="00E66471" w:rsidRPr="00E66471" w:rsidRDefault="00E66471" w:rsidP="00E66471">
      <w:pPr>
        <w:pStyle w:val="ListParagraph"/>
        <w:numPr>
          <w:ilvl w:val="0"/>
          <w:numId w:val="39"/>
        </w:numPr>
        <w:spacing w:line="259" w:lineRule="auto"/>
        <w:ind w:left="714" w:hanging="357"/>
        <w:contextualSpacing w:val="0"/>
        <w:jc w:val="both"/>
      </w:pPr>
      <w:r w:rsidRPr="000002E4">
        <w:rPr>
          <w:b/>
          <w:bCs/>
        </w:rPr>
        <w:t>Risk Management</w:t>
      </w:r>
      <w:r w:rsidRPr="00E66471">
        <w:t>: Expertise in risk management, with a solid understanding of risk identification, assessment, and mitigation strategies.</w:t>
      </w:r>
    </w:p>
    <w:p w14:paraId="5DB63CF0" w14:textId="3798C0E9" w:rsidR="00E66471" w:rsidRPr="00E66471" w:rsidRDefault="00E66471" w:rsidP="00E66471">
      <w:pPr>
        <w:pStyle w:val="ListParagraph"/>
        <w:numPr>
          <w:ilvl w:val="0"/>
          <w:numId w:val="39"/>
        </w:numPr>
        <w:spacing w:line="259" w:lineRule="auto"/>
        <w:ind w:left="714" w:hanging="357"/>
        <w:contextualSpacing w:val="0"/>
        <w:jc w:val="both"/>
      </w:pPr>
      <w:r w:rsidRPr="000002E4">
        <w:rPr>
          <w:b/>
          <w:bCs/>
        </w:rPr>
        <w:t>Experience in Regulated Environments</w:t>
      </w:r>
      <w:r w:rsidRPr="00E66471">
        <w:t xml:space="preserve">: Demonstrated experience working in a regulated role within the financial services industry, with a </w:t>
      </w:r>
      <w:r w:rsidR="00DF44B5">
        <w:t>sound</w:t>
      </w:r>
      <w:r w:rsidRPr="00E66471">
        <w:t xml:space="preserve"> understanding of FCA regulations and MIFIDPRU guidelines.</w:t>
      </w:r>
    </w:p>
    <w:p w14:paraId="334CB8E7" w14:textId="77777777" w:rsidR="00E66471" w:rsidRPr="00E66471" w:rsidRDefault="00E66471" w:rsidP="00E66471">
      <w:pPr>
        <w:pStyle w:val="ListParagraph"/>
        <w:widowControl w:val="0"/>
        <w:numPr>
          <w:ilvl w:val="0"/>
          <w:numId w:val="39"/>
        </w:numPr>
        <w:tabs>
          <w:tab w:val="left" w:pos="302"/>
        </w:tabs>
        <w:autoSpaceDE w:val="0"/>
        <w:autoSpaceDN w:val="0"/>
        <w:spacing w:line="240" w:lineRule="auto"/>
        <w:ind w:left="714" w:hanging="357"/>
        <w:contextualSpacing w:val="0"/>
        <w:jc w:val="both"/>
      </w:pPr>
      <w:r w:rsidRPr="00E66471">
        <w:t>A</w:t>
      </w:r>
      <w:r w:rsidRPr="00E66471">
        <w:rPr>
          <w:spacing w:val="-8"/>
        </w:rPr>
        <w:t xml:space="preserve"> </w:t>
      </w:r>
      <w:r w:rsidRPr="00E66471">
        <w:t>deep</w:t>
      </w:r>
      <w:r w:rsidRPr="00E66471">
        <w:rPr>
          <w:spacing w:val="-5"/>
        </w:rPr>
        <w:t xml:space="preserve"> </w:t>
      </w:r>
      <w:r w:rsidRPr="00E66471">
        <w:t>understanding</w:t>
      </w:r>
      <w:r w:rsidRPr="00E66471">
        <w:rPr>
          <w:spacing w:val="-6"/>
        </w:rPr>
        <w:t xml:space="preserve"> </w:t>
      </w:r>
      <w:r w:rsidRPr="00E66471">
        <w:t>of</w:t>
      </w:r>
      <w:r w:rsidRPr="00E66471">
        <w:rPr>
          <w:spacing w:val="-6"/>
        </w:rPr>
        <w:t xml:space="preserve"> </w:t>
      </w:r>
      <w:r w:rsidRPr="00E66471">
        <w:t>how</w:t>
      </w:r>
      <w:r w:rsidRPr="00E66471">
        <w:rPr>
          <w:spacing w:val="-7"/>
        </w:rPr>
        <w:t xml:space="preserve"> </w:t>
      </w:r>
      <w:r w:rsidRPr="00E66471">
        <w:t>financial</w:t>
      </w:r>
      <w:r w:rsidRPr="00E66471">
        <w:rPr>
          <w:spacing w:val="-7"/>
        </w:rPr>
        <w:t xml:space="preserve"> </w:t>
      </w:r>
      <w:r w:rsidRPr="00E66471">
        <w:t>markets</w:t>
      </w:r>
      <w:r w:rsidRPr="00E66471">
        <w:rPr>
          <w:spacing w:val="-7"/>
        </w:rPr>
        <w:t xml:space="preserve"> </w:t>
      </w:r>
      <w:r w:rsidRPr="00E66471">
        <w:t>work,</w:t>
      </w:r>
      <w:r w:rsidRPr="00E66471">
        <w:rPr>
          <w:spacing w:val="-7"/>
        </w:rPr>
        <w:t xml:space="preserve"> </w:t>
      </w:r>
      <w:r w:rsidRPr="00E66471">
        <w:t>in</w:t>
      </w:r>
      <w:r w:rsidRPr="00E66471">
        <w:rPr>
          <w:spacing w:val="-8"/>
        </w:rPr>
        <w:t xml:space="preserve"> </w:t>
      </w:r>
      <w:r w:rsidRPr="00E66471">
        <w:t>particular</w:t>
      </w:r>
      <w:r w:rsidRPr="00E66471">
        <w:rPr>
          <w:spacing w:val="-7"/>
        </w:rPr>
        <w:t xml:space="preserve"> </w:t>
      </w:r>
      <w:r w:rsidRPr="00E66471">
        <w:t>at</w:t>
      </w:r>
      <w:r w:rsidRPr="00E66471">
        <w:rPr>
          <w:spacing w:val="-6"/>
        </w:rPr>
        <w:t xml:space="preserve"> </w:t>
      </w:r>
      <w:r w:rsidRPr="00E66471">
        <w:t>small</w:t>
      </w:r>
      <w:r w:rsidRPr="00E66471">
        <w:rPr>
          <w:spacing w:val="-7"/>
        </w:rPr>
        <w:t xml:space="preserve"> </w:t>
      </w:r>
      <w:r w:rsidRPr="00E66471">
        <w:t>and</w:t>
      </w:r>
      <w:r w:rsidRPr="00E66471">
        <w:rPr>
          <w:spacing w:val="-6"/>
        </w:rPr>
        <w:t xml:space="preserve"> </w:t>
      </w:r>
      <w:r w:rsidRPr="00E66471">
        <w:t>early-stage</w:t>
      </w:r>
      <w:r w:rsidRPr="00E66471">
        <w:rPr>
          <w:spacing w:val="-6"/>
        </w:rPr>
        <w:t xml:space="preserve"> </w:t>
      </w:r>
      <w:r w:rsidRPr="00E66471">
        <w:rPr>
          <w:spacing w:val="-2"/>
        </w:rPr>
        <w:t>investment across Venture Capital and Direct Equity.</w:t>
      </w:r>
    </w:p>
    <w:p w14:paraId="215E371C" w14:textId="7BA3ECE5" w:rsidR="00E66471" w:rsidRPr="00E66471" w:rsidRDefault="00E66471" w:rsidP="00E66471">
      <w:pPr>
        <w:pStyle w:val="ListParagraph"/>
        <w:widowControl w:val="0"/>
        <w:numPr>
          <w:ilvl w:val="0"/>
          <w:numId w:val="39"/>
        </w:numPr>
        <w:tabs>
          <w:tab w:val="left" w:pos="302"/>
        </w:tabs>
        <w:autoSpaceDE w:val="0"/>
        <w:autoSpaceDN w:val="0"/>
        <w:spacing w:line="240" w:lineRule="auto"/>
        <w:ind w:left="714" w:hanging="357"/>
        <w:contextualSpacing w:val="0"/>
        <w:jc w:val="both"/>
      </w:pPr>
      <w:r w:rsidRPr="00E66471">
        <w:t>Managing</w:t>
      </w:r>
      <w:r w:rsidRPr="00E66471">
        <w:rPr>
          <w:spacing w:val="-7"/>
        </w:rPr>
        <w:t xml:space="preserve"> </w:t>
      </w:r>
      <w:r w:rsidRPr="00E66471">
        <w:t>relationships</w:t>
      </w:r>
      <w:r w:rsidRPr="00E66471">
        <w:rPr>
          <w:spacing w:val="-8"/>
        </w:rPr>
        <w:t xml:space="preserve"> </w:t>
      </w:r>
      <w:r w:rsidRPr="00E66471">
        <w:t>at</w:t>
      </w:r>
      <w:r w:rsidRPr="00E66471">
        <w:rPr>
          <w:spacing w:val="-6"/>
        </w:rPr>
        <w:t xml:space="preserve"> </w:t>
      </w:r>
      <w:r w:rsidR="00DF44B5">
        <w:t>b</w:t>
      </w:r>
      <w:r w:rsidRPr="00E66471">
        <w:t>oard</w:t>
      </w:r>
      <w:r w:rsidRPr="00E66471">
        <w:rPr>
          <w:spacing w:val="-7"/>
        </w:rPr>
        <w:t xml:space="preserve"> </w:t>
      </w:r>
      <w:r w:rsidRPr="00E66471">
        <w:t>level</w:t>
      </w:r>
      <w:r w:rsidRPr="00E66471">
        <w:rPr>
          <w:spacing w:val="-7"/>
        </w:rPr>
        <w:t xml:space="preserve"> </w:t>
      </w:r>
      <w:r w:rsidRPr="00E66471">
        <w:t>with</w:t>
      </w:r>
      <w:r w:rsidRPr="00E66471">
        <w:rPr>
          <w:spacing w:val="-8"/>
        </w:rPr>
        <w:t xml:space="preserve"> </w:t>
      </w:r>
      <w:r w:rsidRPr="00E66471">
        <w:t>some</w:t>
      </w:r>
      <w:r w:rsidRPr="00E66471">
        <w:rPr>
          <w:spacing w:val="-5"/>
        </w:rPr>
        <w:t xml:space="preserve"> </w:t>
      </w:r>
      <w:r w:rsidR="00DF44B5">
        <w:t>b</w:t>
      </w:r>
      <w:r w:rsidRPr="00E66471">
        <w:t>oard</w:t>
      </w:r>
      <w:r w:rsidRPr="00E66471">
        <w:rPr>
          <w:spacing w:val="-7"/>
        </w:rPr>
        <w:t xml:space="preserve"> </w:t>
      </w:r>
      <w:r w:rsidRPr="00E66471">
        <w:t>and/or</w:t>
      </w:r>
      <w:r w:rsidRPr="00E66471">
        <w:rPr>
          <w:spacing w:val="-8"/>
        </w:rPr>
        <w:t xml:space="preserve"> </w:t>
      </w:r>
      <w:r w:rsidRPr="00E66471">
        <w:t>NED</w:t>
      </w:r>
      <w:r w:rsidRPr="00E66471">
        <w:rPr>
          <w:spacing w:val="-7"/>
        </w:rPr>
        <w:t xml:space="preserve"> </w:t>
      </w:r>
      <w:r w:rsidRPr="00E66471">
        <w:rPr>
          <w:spacing w:val="-2"/>
        </w:rPr>
        <w:t>experience.</w:t>
      </w:r>
    </w:p>
    <w:p w14:paraId="3674E1B3" w14:textId="77777777" w:rsidR="00E66471" w:rsidRPr="00E66471" w:rsidRDefault="00E66471" w:rsidP="00E66471">
      <w:pPr>
        <w:pStyle w:val="ListParagraph"/>
        <w:widowControl w:val="0"/>
        <w:numPr>
          <w:ilvl w:val="0"/>
          <w:numId w:val="39"/>
        </w:numPr>
        <w:tabs>
          <w:tab w:val="left" w:pos="302"/>
        </w:tabs>
        <w:autoSpaceDE w:val="0"/>
        <w:autoSpaceDN w:val="0"/>
        <w:spacing w:line="240" w:lineRule="auto"/>
        <w:ind w:left="714" w:hanging="357"/>
        <w:contextualSpacing w:val="0"/>
        <w:jc w:val="both"/>
      </w:pPr>
      <w:r w:rsidRPr="00E66471">
        <w:t>Credibility</w:t>
      </w:r>
      <w:r w:rsidRPr="00E66471">
        <w:rPr>
          <w:spacing w:val="-9"/>
        </w:rPr>
        <w:t xml:space="preserve"> </w:t>
      </w:r>
      <w:r w:rsidRPr="00E66471">
        <w:t>and</w:t>
      </w:r>
      <w:r w:rsidRPr="00E66471">
        <w:rPr>
          <w:spacing w:val="-8"/>
        </w:rPr>
        <w:t xml:space="preserve"> </w:t>
      </w:r>
      <w:r w:rsidRPr="00E66471">
        <w:t>communication</w:t>
      </w:r>
      <w:r w:rsidRPr="00E66471">
        <w:rPr>
          <w:spacing w:val="-9"/>
        </w:rPr>
        <w:t xml:space="preserve"> </w:t>
      </w:r>
      <w:r w:rsidRPr="00E66471">
        <w:t>skills</w:t>
      </w:r>
      <w:r w:rsidRPr="00E66471">
        <w:rPr>
          <w:spacing w:val="-10"/>
        </w:rPr>
        <w:t xml:space="preserve"> </w:t>
      </w:r>
      <w:r w:rsidRPr="00E66471">
        <w:t>to</w:t>
      </w:r>
      <w:r w:rsidRPr="00E66471">
        <w:rPr>
          <w:spacing w:val="-9"/>
        </w:rPr>
        <w:t xml:space="preserve"> </w:t>
      </w:r>
      <w:r w:rsidRPr="00E66471">
        <w:t>operate</w:t>
      </w:r>
      <w:r w:rsidRPr="00E66471">
        <w:rPr>
          <w:spacing w:val="-8"/>
        </w:rPr>
        <w:t xml:space="preserve"> </w:t>
      </w:r>
      <w:r w:rsidRPr="00E66471">
        <w:t>confidently</w:t>
      </w:r>
      <w:r w:rsidRPr="00E66471">
        <w:rPr>
          <w:spacing w:val="-6"/>
        </w:rPr>
        <w:t xml:space="preserve"> </w:t>
      </w:r>
      <w:r w:rsidRPr="00E66471">
        <w:t>and</w:t>
      </w:r>
      <w:r w:rsidRPr="00E66471">
        <w:rPr>
          <w:spacing w:val="-8"/>
        </w:rPr>
        <w:t xml:space="preserve"> </w:t>
      </w:r>
      <w:r w:rsidRPr="00E66471">
        <w:t>effectively</w:t>
      </w:r>
      <w:r w:rsidRPr="00E66471">
        <w:rPr>
          <w:spacing w:val="-8"/>
        </w:rPr>
        <w:t xml:space="preserve"> </w:t>
      </w:r>
      <w:r w:rsidRPr="00E66471">
        <w:t>both</w:t>
      </w:r>
      <w:r w:rsidRPr="00E66471">
        <w:rPr>
          <w:spacing w:val="-9"/>
        </w:rPr>
        <w:t xml:space="preserve"> </w:t>
      </w:r>
      <w:r w:rsidRPr="00E66471">
        <w:t>internally</w:t>
      </w:r>
      <w:r w:rsidRPr="00E66471">
        <w:rPr>
          <w:spacing w:val="-9"/>
        </w:rPr>
        <w:t xml:space="preserve"> </w:t>
      </w:r>
      <w:r w:rsidRPr="00E66471">
        <w:t>and</w:t>
      </w:r>
      <w:r w:rsidRPr="00E66471">
        <w:rPr>
          <w:spacing w:val="-8"/>
        </w:rPr>
        <w:t xml:space="preserve"> </w:t>
      </w:r>
      <w:r w:rsidRPr="00E66471">
        <w:rPr>
          <w:spacing w:val="-2"/>
        </w:rPr>
        <w:t>externally.</w:t>
      </w:r>
    </w:p>
    <w:p w14:paraId="3D03502B" w14:textId="77777777" w:rsidR="00E66471" w:rsidRPr="00E66471" w:rsidRDefault="00E66471" w:rsidP="00E66471">
      <w:pPr>
        <w:pStyle w:val="ListParagraph"/>
        <w:widowControl w:val="0"/>
        <w:numPr>
          <w:ilvl w:val="0"/>
          <w:numId w:val="39"/>
        </w:numPr>
        <w:tabs>
          <w:tab w:val="left" w:pos="303"/>
        </w:tabs>
        <w:autoSpaceDE w:val="0"/>
        <w:autoSpaceDN w:val="0"/>
        <w:spacing w:line="240" w:lineRule="auto"/>
        <w:ind w:left="714" w:right="132" w:hanging="357"/>
        <w:contextualSpacing w:val="0"/>
        <w:jc w:val="both"/>
      </w:pPr>
      <w:r w:rsidRPr="00E66471">
        <w:t>Be prepared to be appropriately challenging to the executive and able to scrutinise performance, whilst also providing appropriate support.</w:t>
      </w:r>
    </w:p>
    <w:p w14:paraId="432747AE" w14:textId="77777777" w:rsidR="00E66471" w:rsidRPr="00E66471" w:rsidRDefault="00E66471" w:rsidP="00E66471">
      <w:pPr>
        <w:pStyle w:val="ListParagraph"/>
        <w:widowControl w:val="0"/>
        <w:numPr>
          <w:ilvl w:val="0"/>
          <w:numId w:val="39"/>
        </w:numPr>
        <w:tabs>
          <w:tab w:val="left" w:pos="302"/>
        </w:tabs>
        <w:autoSpaceDE w:val="0"/>
        <w:autoSpaceDN w:val="0"/>
        <w:spacing w:line="240" w:lineRule="auto"/>
        <w:ind w:left="714" w:hanging="357"/>
        <w:contextualSpacing w:val="0"/>
        <w:jc w:val="both"/>
      </w:pPr>
      <w:r w:rsidRPr="00E66471">
        <w:t>Apply</w:t>
      </w:r>
      <w:r w:rsidRPr="00E66471">
        <w:rPr>
          <w:spacing w:val="-7"/>
        </w:rPr>
        <w:t xml:space="preserve"> </w:t>
      </w:r>
      <w:r w:rsidRPr="00E66471">
        <w:t>common</w:t>
      </w:r>
      <w:r w:rsidRPr="00E66471">
        <w:rPr>
          <w:spacing w:val="-8"/>
        </w:rPr>
        <w:t xml:space="preserve"> </w:t>
      </w:r>
      <w:r w:rsidRPr="00E66471">
        <w:t>sense,</w:t>
      </w:r>
      <w:r w:rsidRPr="00E66471">
        <w:rPr>
          <w:spacing w:val="-8"/>
        </w:rPr>
        <w:t xml:space="preserve"> </w:t>
      </w:r>
      <w:r w:rsidRPr="00E66471">
        <w:t>pragmatism</w:t>
      </w:r>
      <w:r w:rsidRPr="00E66471">
        <w:rPr>
          <w:spacing w:val="-8"/>
        </w:rPr>
        <w:t xml:space="preserve"> </w:t>
      </w:r>
      <w:r w:rsidRPr="00E66471">
        <w:t>and</w:t>
      </w:r>
      <w:r w:rsidRPr="00E66471">
        <w:rPr>
          <w:spacing w:val="-6"/>
        </w:rPr>
        <w:t xml:space="preserve"> </w:t>
      </w:r>
      <w:r w:rsidRPr="00E66471">
        <w:t>good</w:t>
      </w:r>
      <w:r w:rsidRPr="00E66471">
        <w:rPr>
          <w:spacing w:val="-5"/>
        </w:rPr>
        <w:t xml:space="preserve"> </w:t>
      </w:r>
      <w:r w:rsidRPr="00E66471">
        <w:t>business</w:t>
      </w:r>
      <w:r w:rsidRPr="00E66471">
        <w:rPr>
          <w:spacing w:val="-8"/>
        </w:rPr>
        <w:t xml:space="preserve"> </w:t>
      </w:r>
      <w:r w:rsidRPr="00E66471">
        <w:t>judgement</w:t>
      </w:r>
      <w:r w:rsidRPr="00E66471">
        <w:rPr>
          <w:spacing w:val="-7"/>
        </w:rPr>
        <w:t xml:space="preserve"> </w:t>
      </w:r>
      <w:r w:rsidRPr="00E66471">
        <w:t>to</w:t>
      </w:r>
      <w:r w:rsidRPr="00E66471">
        <w:rPr>
          <w:spacing w:val="-6"/>
        </w:rPr>
        <w:t xml:space="preserve"> </w:t>
      </w:r>
      <w:r w:rsidRPr="00E66471">
        <w:t>key</w:t>
      </w:r>
      <w:r w:rsidRPr="00E66471">
        <w:rPr>
          <w:spacing w:val="-6"/>
        </w:rPr>
        <w:t xml:space="preserve"> </w:t>
      </w:r>
      <w:r w:rsidRPr="00E66471">
        <w:rPr>
          <w:spacing w:val="-2"/>
        </w:rPr>
        <w:t>issues.</w:t>
      </w:r>
    </w:p>
    <w:p w14:paraId="54F5B1AE" w14:textId="77777777" w:rsidR="00E66471" w:rsidRPr="00E66471" w:rsidRDefault="00E66471" w:rsidP="00E66471">
      <w:pPr>
        <w:pStyle w:val="ListParagraph"/>
        <w:widowControl w:val="0"/>
        <w:numPr>
          <w:ilvl w:val="0"/>
          <w:numId w:val="39"/>
        </w:numPr>
        <w:tabs>
          <w:tab w:val="left" w:pos="303"/>
        </w:tabs>
        <w:autoSpaceDE w:val="0"/>
        <w:autoSpaceDN w:val="0"/>
        <w:spacing w:line="240" w:lineRule="auto"/>
        <w:ind w:right="136"/>
        <w:contextualSpacing w:val="0"/>
        <w:jc w:val="both"/>
      </w:pPr>
      <w:r w:rsidRPr="00E66471">
        <w:t>Have</w:t>
      </w:r>
      <w:r w:rsidRPr="00E66471">
        <w:rPr>
          <w:spacing w:val="14"/>
        </w:rPr>
        <w:t xml:space="preserve"> </w:t>
      </w:r>
      <w:r w:rsidRPr="00E66471">
        <w:t>the</w:t>
      </w:r>
      <w:r w:rsidRPr="00E66471">
        <w:rPr>
          <w:spacing w:val="14"/>
        </w:rPr>
        <w:t xml:space="preserve"> </w:t>
      </w:r>
      <w:r w:rsidRPr="00E66471">
        <w:t>time</w:t>
      </w:r>
      <w:r w:rsidRPr="00E66471">
        <w:rPr>
          <w:spacing w:val="13"/>
        </w:rPr>
        <w:t xml:space="preserve"> </w:t>
      </w:r>
      <w:r w:rsidRPr="00E66471">
        <w:t>to</w:t>
      </w:r>
      <w:r w:rsidRPr="00E66471">
        <w:rPr>
          <w:spacing w:val="14"/>
        </w:rPr>
        <w:t xml:space="preserve"> </w:t>
      </w:r>
      <w:r w:rsidRPr="00E66471">
        <w:t>carry</w:t>
      </w:r>
      <w:r w:rsidRPr="00E66471">
        <w:rPr>
          <w:spacing w:val="14"/>
        </w:rPr>
        <w:t xml:space="preserve"> </w:t>
      </w:r>
      <w:r w:rsidRPr="00E66471">
        <w:t>out</w:t>
      </w:r>
      <w:r w:rsidRPr="00E66471">
        <w:rPr>
          <w:spacing w:val="14"/>
        </w:rPr>
        <w:t xml:space="preserve"> </w:t>
      </w:r>
      <w:r w:rsidRPr="00E66471">
        <w:t>this</w:t>
      </w:r>
      <w:r w:rsidRPr="00E66471">
        <w:rPr>
          <w:spacing w:val="13"/>
        </w:rPr>
        <w:t xml:space="preserve"> </w:t>
      </w:r>
      <w:r w:rsidRPr="00E66471">
        <w:t>role</w:t>
      </w:r>
      <w:r w:rsidRPr="00E66471">
        <w:rPr>
          <w:spacing w:val="14"/>
        </w:rPr>
        <w:t xml:space="preserve"> </w:t>
      </w:r>
      <w:r w:rsidRPr="00E66471">
        <w:t>effectively</w:t>
      </w:r>
      <w:r w:rsidRPr="00E66471">
        <w:rPr>
          <w:spacing w:val="14"/>
        </w:rPr>
        <w:t xml:space="preserve"> </w:t>
      </w:r>
      <w:r w:rsidRPr="00E66471">
        <w:t>and</w:t>
      </w:r>
      <w:r w:rsidRPr="00E66471">
        <w:rPr>
          <w:spacing w:val="14"/>
        </w:rPr>
        <w:t xml:space="preserve"> </w:t>
      </w:r>
      <w:r w:rsidRPr="00E66471">
        <w:t>the</w:t>
      </w:r>
      <w:r w:rsidRPr="00E66471">
        <w:rPr>
          <w:spacing w:val="14"/>
        </w:rPr>
        <w:t xml:space="preserve"> </w:t>
      </w:r>
      <w:r w:rsidRPr="00E66471">
        <w:t>interest</w:t>
      </w:r>
      <w:r w:rsidRPr="00E66471">
        <w:rPr>
          <w:spacing w:val="14"/>
        </w:rPr>
        <w:t xml:space="preserve"> </w:t>
      </w:r>
      <w:r w:rsidRPr="00E66471">
        <w:t>in BBB</w:t>
      </w:r>
      <w:r w:rsidRPr="00E66471">
        <w:rPr>
          <w:spacing w:val="23"/>
        </w:rPr>
        <w:t xml:space="preserve"> </w:t>
      </w:r>
      <w:r w:rsidRPr="00E66471">
        <w:t>to</w:t>
      </w:r>
      <w:r w:rsidRPr="00E66471">
        <w:rPr>
          <w:spacing w:val="14"/>
        </w:rPr>
        <w:t xml:space="preserve"> </w:t>
      </w:r>
      <w:r w:rsidRPr="00E66471">
        <w:t>want</w:t>
      </w:r>
      <w:r w:rsidRPr="00E66471">
        <w:rPr>
          <w:spacing w:val="14"/>
        </w:rPr>
        <w:t xml:space="preserve"> </w:t>
      </w:r>
      <w:r w:rsidRPr="00E66471">
        <w:t>to</w:t>
      </w:r>
      <w:r w:rsidRPr="00E66471">
        <w:rPr>
          <w:spacing w:val="14"/>
        </w:rPr>
        <w:t xml:space="preserve"> </w:t>
      </w:r>
      <w:r w:rsidRPr="00E66471">
        <w:t>add</w:t>
      </w:r>
      <w:r w:rsidRPr="00E66471">
        <w:rPr>
          <w:spacing w:val="14"/>
        </w:rPr>
        <w:t xml:space="preserve"> </w:t>
      </w:r>
      <w:r w:rsidRPr="00E66471">
        <w:t>real</w:t>
      </w:r>
      <w:r w:rsidRPr="00E66471">
        <w:rPr>
          <w:spacing w:val="14"/>
        </w:rPr>
        <w:t xml:space="preserve"> </w:t>
      </w:r>
      <w:r w:rsidRPr="00E66471">
        <w:t>value</w:t>
      </w:r>
      <w:r w:rsidRPr="00E66471">
        <w:rPr>
          <w:spacing w:val="14"/>
        </w:rPr>
        <w:t xml:space="preserve"> </w:t>
      </w:r>
      <w:r w:rsidRPr="00E66471">
        <w:t>to</w:t>
      </w:r>
      <w:r w:rsidRPr="00E66471">
        <w:rPr>
          <w:spacing w:val="14"/>
        </w:rPr>
        <w:t xml:space="preserve"> </w:t>
      </w:r>
      <w:r w:rsidRPr="00E66471">
        <w:t>the</w:t>
      </w:r>
      <w:r w:rsidRPr="00E66471">
        <w:rPr>
          <w:spacing w:val="14"/>
        </w:rPr>
        <w:t xml:space="preserve"> </w:t>
      </w:r>
      <w:r w:rsidRPr="00E66471">
        <w:t>Board</w:t>
      </w:r>
      <w:r w:rsidRPr="00E66471">
        <w:rPr>
          <w:spacing w:val="14"/>
        </w:rPr>
        <w:t xml:space="preserve"> </w:t>
      </w:r>
      <w:r w:rsidRPr="00E66471">
        <w:t>and</w:t>
      </w:r>
      <w:r w:rsidRPr="00E66471">
        <w:rPr>
          <w:spacing w:val="14"/>
        </w:rPr>
        <w:t xml:space="preserve"> </w:t>
      </w:r>
      <w:r w:rsidRPr="00E66471">
        <w:t xml:space="preserve">the </w:t>
      </w:r>
      <w:r w:rsidRPr="00E66471">
        <w:rPr>
          <w:spacing w:val="-2"/>
        </w:rPr>
        <w:t>business.</w:t>
      </w:r>
    </w:p>
    <w:p w14:paraId="70AE4762" w14:textId="77777777" w:rsidR="00E66471" w:rsidRPr="00E66471" w:rsidRDefault="00E66471" w:rsidP="00E66471">
      <w:pPr>
        <w:pStyle w:val="NoSpacing"/>
        <w:jc w:val="both"/>
        <w:rPr>
          <w:b/>
          <w:bCs/>
          <w:sz w:val="20"/>
          <w:szCs w:val="20"/>
        </w:rPr>
      </w:pPr>
    </w:p>
    <w:p w14:paraId="68F57F5F" w14:textId="77777777" w:rsidR="00E66471" w:rsidRPr="00E66471" w:rsidRDefault="00E66471" w:rsidP="00E66471">
      <w:pPr>
        <w:pStyle w:val="NoSpacing"/>
        <w:jc w:val="both"/>
        <w:rPr>
          <w:b/>
          <w:bCs/>
          <w:sz w:val="20"/>
          <w:szCs w:val="20"/>
        </w:rPr>
      </w:pPr>
    </w:p>
    <w:p w14:paraId="2D245A9F" w14:textId="77777777" w:rsidR="00E66471" w:rsidRPr="00E66471" w:rsidRDefault="00E66471" w:rsidP="00E66471">
      <w:pPr>
        <w:pStyle w:val="NoSpacing"/>
        <w:jc w:val="both"/>
        <w:rPr>
          <w:b/>
          <w:bCs/>
          <w:sz w:val="20"/>
          <w:szCs w:val="20"/>
        </w:rPr>
      </w:pPr>
      <w:r w:rsidRPr="00E66471">
        <w:rPr>
          <w:b/>
          <w:bCs/>
          <w:sz w:val="20"/>
          <w:szCs w:val="20"/>
        </w:rPr>
        <w:t>Personal Attributes</w:t>
      </w:r>
    </w:p>
    <w:p w14:paraId="66B549F2" w14:textId="77777777" w:rsidR="00E66471" w:rsidRPr="00E66471" w:rsidRDefault="00E66471" w:rsidP="00E66471">
      <w:pPr>
        <w:pStyle w:val="NoSpacing"/>
        <w:jc w:val="both"/>
        <w:rPr>
          <w:b/>
          <w:bCs/>
          <w:sz w:val="20"/>
          <w:szCs w:val="20"/>
        </w:rPr>
      </w:pPr>
    </w:p>
    <w:p w14:paraId="53E2ADFE" w14:textId="77777777" w:rsidR="00E66471" w:rsidRPr="00E66471" w:rsidRDefault="00E66471" w:rsidP="00E66471">
      <w:pPr>
        <w:pStyle w:val="NoSpacing"/>
        <w:numPr>
          <w:ilvl w:val="0"/>
          <w:numId w:val="40"/>
        </w:numPr>
        <w:spacing w:after="120"/>
        <w:ind w:left="714" w:hanging="357"/>
        <w:jc w:val="both"/>
        <w:rPr>
          <w:sz w:val="20"/>
          <w:szCs w:val="20"/>
        </w:rPr>
      </w:pPr>
      <w:r w:rsidRPr="00E66471">
        <w:rPr>
          <w:b/>
          <w:bCs/>
          <w:sz w:val="20"/>
          <w:szCs w:val="20"/>
        </w:rPr>
        <w:t>Integrity and Ethics</w:t>
      </w:r>
      <w:r w:rsidRPr="00E66471">
        <w:rPr>
          <w:sz w:val="20"/>
          <w:szCs w:val="20"/>
        </w:rPr>
        <w:t>: Commitment to the highest standards of integrity and ethical behaviour.</w:t>
      </w:r>
    </w:p>
    <w:p w14:paraId="3A39C463" w14:textId="77777777" w:rsidR="00E66471" w:rsidRPr="00E66471" w:rsidRDefault="00E66471" w:rsidP="00E66471">
      <w:pPr>
        <w:pStyle w:val="NoSpacing"/>
        <w:numPr>
          <w:ilvl w:val="0"/>
          <w:numId w:val="40"/>
        </w:numPr>
        <w:spacing w:after="120"/>
        <w:ind w:left="714" w:hanging="357"/>
        <w:jc w:val="both"/>
        <w:rPr>
          <w:sz w:val="20"/>
          <w:szCs w:val="20"/>
        </w:rPr>
      </w:pPr>
      <w:r w:rsidRPr="00E66471">
        <w:rPr>
          <w:b/>
          <w:bCs/>
          <w:sz w:val="20"/>
          <w:szCs w:val="20"/>
        </w:rPr>
        <w:t>Analytical Thinking</w:t>
      </w:r>
      <w:r w:rsidRPr="00E66471">
        <w:rPr>
          <w:sz w:val="20"/>
          <w:szCs w:val="20"/>
        </w:rPr>
        <w:t>: Strong analytical skills, with the ability to critically evaluate complex information and make informed decisions.</w:t>
      </w:r>
    </w:p>
    <w:p w14:paraId="552FDF02" w14:textId="77777777" w:rsidR="00E66471" w:rsidRPr="00E66471" w:rsidRDefault="00E66471" w:rsidP="00E66471">
      <w:pPr>
        <w:pStyle w:val="NoSpacing"/>
        <w:numPr>
          <w:ilvl w:val="0"/>
          <w:numId w:val="40"/>
        </w:numPr>
        <w:spacing w:after="120"/>
        <w:ind w:left="714" w:hanging="357"/>
        <w:jc w:val="both"/>
        <w:rPr>
          <w:sz w:val="20"/>
          <w:szCs w:val="20"/>
        </w:rPr>
      </w:pPr>
      <w:r w:rsidRPr="00E66471">
        <w:rPr>
          <w:b/>
          <w:bCs/>
          <w:sz w:val="20"/>
          <w:szCs w:val="20"/>
        </w:rPr>
        <w:t>Communication Skills</w:t>
      </w:r>
      <w:r w:rsidRPr="00E66471">
        <w:rPr>
          <w:sz w:val="20"/>
          <w:szCs w:val="20"/>
        </w:rPr>
        <w:t>: Excellent communication and interpersonal skills, with the ability to articulate ideas clearly and persuasively.</w:t>
      </w:r>
    </w:p>
    <w:p w14:paraId="288B2FC9" w14:textId="77777777" w:rsidR="00E66471" w:rsidRPr="00E66471" w:rsidRDefault="00E66471" w:rsidP="00E66471">
      <w:pPr>
        <w:pStyle w:val="NoSpacing"/>
        <w:numPr>
          <w:ilvl w:val="0"/>
          <w:numId w:val="40"/>
        </w:numPr>
        <w:spacing w:after="120"/>
        <w:ind w:left="714" w:hanging="357"/>
        <w:jc w:val="both"/>
        <w:rPr>
          <w:sz w:val="20"/>
          <w:szCs w:val="20"/>
        </w:rPr>
      </w:pPr>
      <w:r w:rsidRPr="00E66471">
        <w:rPr>
          <w:b/>
          <w:bCs/>
          <w:sz w:val="20"/>
          <w:szCs w:val="20"/>
        </w:rPr>
        <w:t>Strategic Vision</w:t>
      </w:r>
      <w:r w:rsidRPr="00E66471">
        <w:rPr>
          <w:sz w:val="20"/>
          <w:szCs w:val="20"/>
        </w:rPr>
        <w:t>: Forward-thinking, with the ability to contribute to the development and implementation of long-term strategic goals.</w:t>
      </w:r>
    </w:p>
    <w:p w14:paraId="7EB5069C" w14:textId="77777777" w:rsidR="00E66471" w:rsidRPr="00E66471" w:rsidRDefault="00E66471" w:rsidP="00E66471">
      <w:pPr>
        <w:pStyle w:val="NoSpacing"/>
        <w:numPr>
          <w:ilvl w:val="0"/>
          <w:numId w:val="40"/>
        </w:numPr>
        <w:spacing w:after="120"/>
        <w:ind w:left="714" w:hanging="357"/>
        <w:jc w:val="both"/>
        <w:rPr>
          <w:sz w:val="20"/>
          <w:szCs w:val="20"/>
        </w:rPr>
      </w:pPr>
      <w:r w:rsidRPr="00E66471">
        <w:rPr>
          <w:b/>
          <w:bCs/>
          <w:sz w:val="20"/>
          <w:szCs w:val="20"/>
        </w:rPr>
        <w:t>Collaborative Approach</w:t>
      </w:r>
      <w:r w:rsidRPr="00E66471">
        <w:rPr>
          <w:sz w:val="20"/>
          <w:szCs w:val="20"/>
        </w:rPr>
        <w:t>: Ability to work effectively with other Board members, executives, and stakeholders to achieve common objectives.</w:t>
      </w:r>
    </w:p>
    <w:p w14:paraId="01CB91A7" w14:textId="7BEC8D95" w:rsidR="00E66471" w:rsidRPr="00E66471" w:rsidRDefault="00E66471" w:rsidP="00E66471">
      <w:pPr>
        <w:pStyle w:val="ListParagraph"/>
        <w:widowControl w:val="0"/>
        <w:numPr>
          <w:ilvl w:val="0"/>
          <w:numId w:val="40"/>
        </w:numPr>
        <w:tabs>
          <w:tab w:val="left" w:pos="303"/>
        </w:tabs>
        <w:autoSpaceDE w:val="0"/>
        <w:autoSpaceDN w:val="0"/>
        <w:spacing w:line="240" w:lineRule="auto"/>
        <w:ind w:right="130"/>
        <w:contextualSpacing w:val="0"/>
        <w:jc w:val="both"/>
      </w:pPr>
      <w:r w:rsidRPr="00E66471">
        <w:lastRenderedPageBreak/>
        <w:t>Have</w:t>
      </w:r>
      <w:r w:rsidRPr="00E66471">
        <w:rPr>
          <w:spacing w:val="-2"/>
        </w:rPr>
        <w:t xml:space="preserve"> </w:t>
      </w:r>
      <w:r w:rsidRPr="00E66471">
        <w:t>the</w:t>
      </w:r>
      <w:r w:rsidRPr="00E66471">
        <w:rPr>
          <w:spacing w:val="-2"/>
        </w:rPr>
        <w:t xml:space="preserve"> </w:t>
      </w:r>
      <w:r w:rsidRPr="00E66471">
        <w:t>intellect</w:t>
      </w:r>
      <w:r w:rsidRPr="00E66471">
        <w:rPr>
          <w:spacing w:val="-2"/>
        </w:rPr>
        <w:t xml:space="preserve"> </w:t>
      </w:r>
      <w:r w:rsidRPr="00E66471">
        <w:t>and</w:t>
      </w:r>
      <w:r w:rsidRPr="00E66471">
        <w:rPr>
          <w:spacing w:val="-1"/>
        </w:rPr>
        <w:t xml:space="preserve"> </w:t>
      </w:r>
      <w:r w:rsidRPr="00E66471">
        <w:t>breadth</w:t>
      </w:r>
      <w:r w:rsidRPr="00E66471">
        <w:rPr>
          <w:spacing w:val="-3"/>
        </w:rPr>
        <w:t xml:space="preserve"> </w:t>
      </w:r>
      <w:r w:rsidRPr="00E66471">
        <w:t>of</w:t>
      </w:r>
      <w:r w:rsidRPr="00E66471">
        <w:rPr>
          <w:spacing w:val="-2"/>
        </w:rPr>
        <w:t xml:space="preserve"> </w:t>
      </w:r>
      <w:r w:rsidRPr="00E66471">
        <w:t>vision</w:t>
      </w:r>
      <w:r w:rsidRPr="00E66471">
        <w:rPr>
          <w:spacing w:val="-3"/>
        </w:rPr>
        <w:t xml:space="preserve"> </w:t>
      </w:r>
      <w:r w:rsidRPr="00E66471">
        <w:t>that</w:t>
      </w:r>
      <w:r w:rsidRPr="00E66471">
        <w:rPr>
          <w:spacing w:val="-2"/>
        </w:rPr>
        <w:t xml:space="preserve"> </w:t>
      </w:r>
      <w:r w:rsidRPr="00E66471">
        <w:t>will</w:t>
      </w:r>
      <w:r w:rsidRPr="00E66471">
        <w:rPr>
          <w:spacing w:val="-1"/>
        </w:rPr>
        <w:t xml:space="preserve"> </w:t>
      </w:r>
      <w:r w:rsidRPr="00E66471">
        <w:t xml:space="preserve">enable </w:t>
      </w:r>
      <w:r w:rsidR="00DF44B5">
        <w:t>them</w:t>
      </w:r>
      <w:r w:rsidRPr="00E66471">
        <w:rPr>
          <w:spacing w:val="-3"/>
        </w:rPr>
        <w:t xml:space="preserve"> </w:t>
      </w:r>
      <w:r w:rsidRPr="00E66471">
        <w:t>to</w:t>
      </w:r>
      <w:r w:rsidRPr="00E66471">
        <w:rPr>
          <w:spacing w:val="-2"/>
        </w:rPr>
        <w:t xml:space="preserve"> </w:t>
      </w:r>
      <w:r w:rsidRPr="00E66471">
        <w:t>fully</w:t>
      </w:r>
      <w:r w:rsidRPr="00E66471">
        <w:rPr>
          <w:spacing w:val="-2"/>
        </w:rPr>
        <w:t xml:space="preserve"> </w:t>
      </w:r>
      <w:r w:rsidRPr="00E66471">
        <w:t>contribute</w:t>
      </w:r>
      <w:r w:rsidRPr="00E66471">
        <w:rPr>
          <w:spacing w:val="-2"/>
        </w:rPr>
        <w:t xml:space="preserve"> </w:t>
      </w:r>
      <w:r w:rsidRPr="00E66471">
        <w:t>to</w:t>
      </w:r>
      <w:r w:rsidRPr="00E66471">
        <w:rPr>
          <w:spacing w:val="-2"/>
        </w:rPr>
        <w:t xml:space="preserve"> </w:t>
      </w:r>
      <w:r w:rsidRPr="00E66471">
        <w:t>strategic</w:t>
      </w:r>
      <w:r w:rsidRPr="00E66471">
        <w:rPr>
          <w:spacing w:val="-2"/>
        </w:rPr>
        <w:t xml:space="preserve"> </w:t>
      </w:r>
      <w:r w:rsidRPr="00E66471">
        <w:t>and high-level</w:t>
      </w:r>
      <w:r w:rsidRPr="00E66471">
        <w:rPr>
          <w:spacing w:val="-2"/>
        </w:rPr>
        <w:t xml:space="preserve"> </w:t>
      </w:r>
      <w:r w:rsidRPr="00E66471">
        <w:t xml:space="preserve">operational </w:t>
      </w:r>
      <w:r w:rsidRPr="00E66471">
        <w:rPr>
          <w:spacing w:val="-2"/>
        </w:rPr>
        <w:t>discussions.</w:t>
      </w:r>
    </w:p>
    <w:p w14:paraId="799F5442" w14:textId="77777777" w:rsidR="00E66471" w:rsidRPr="00E66471" w:rsidRDefault="00E66471" w:rsidP="00E66471">
      <w:pPr>
        <w:pStyle w:val="ListParagraph"/>
        <w:widowControl w:val="0"/>
        <w:numPr>
          <w:ilvl w:val="0"/>
          <w:numId w:val="40"/>
        </w:numPr>
        <w:tabs>
          <w:tab w:val="left" w:pos="303"/>
        </w:tabs>
        <w:autoSpaceDE w:val="0"/>
        <w:autoSpaceDN w:val="0"/>
        <w:spacing w:line="240" w:lineRule="auto"/>
        <w:ind w:right="130"/>
        <w:contextualSpacing w:val="0"/>
        <w:jc w:val="both"/>
      </w:pPr>
      <w:r w:rsidRPr="00E66471">
        <w:t>Be</w:t>
      </w:r>
      <w:r w:rsidRPr="00E66471">
        <w:rPr>
          <w:spacing w:val="-13"/>
        </w:rPr>
        <w:t xml:space="preserve"> </w:t>
      </w:r>
      <w:r w:rsidRPr="00E66471">
        <w:t>an</w:t>
      </w:r>
      <w:r w:rsidRPr="00E66471">
        <w:rPr>
          <w:spacing w:val="-13"/>
        </w:rPr>
        <w:t xml:space="preserve"> </w:t>
      </w:r>
      <w:r w:rsidRPr="00E66471">
        <w:t>enthusiastic,</w:t>
      </w:r>
      <w:r w:rsidRPr="00E66471">
        <w:rPr>
          <w:spacing w:val="-13"/>
        </w:rPr>
        <w:t xml:space="preserve"> </w:t>
      </w:r>
      <w:r w:rsidRPr="00E66471">
        <w:t>inquisitive</w:t>
      </w:r>
      <w:r w:rsidRPr="00E66471">
        <w:rPr>
          <w:spacing w:val="-10"/>
        </w:rPr>
        <w:t xml:space="preserve"> </w:t>
      </w:r>
      <w:r w:rsidRPr="00E66471">
        <w:t>and</w:t>
      </w:r>
      <w:r w:rsidRPr="00E66471">
        <w:rPr>
          <w:spacing w:val="-12"/>
        </w:rPr>
        <w:t xml:space="preserve"> </w:t>
      </w:r>
      <w:r w:rsidRPr="00E66471">
        <w:t>robust</w:t>
      </w:r>
      <w:r w:rsidRPr="00E66471">
        <w:rPr>
          <w:spacing w:val="-12"/>
        </w:rPr>
        <w:t xml:space="preserve"> </w:t>
      </w:r>
      <w:r w:rsidRPr="00E66471">
        <w:t>individual,</w:t>
      </w:r>
      <w:r w:rsidRPr="00E66471">
        <w:rPr>
          <w:spacing w:val="-13"/>
        </w:rPr>
        <w:t xml:space="preserve"> </w:t>
      </w:r>
      <w:r w:rsidRPr="00E66471">
        <w:t>committed</w:t>
      </w:r>
      <w:r w:rsidRPr="00E66471">
        <w:rPr>
          <w:spacing w:val="-11"/>
        </w:rPr>
        <w:t xml:space="preserve"> </w:t>
      </w:r>
      <w:r w:rsidRPr="00E66471">
        <w:t>to</w:t>
      </w:r>
      <w:r w:rsidRPr="00E66471">
        <w:rPr>
          <w:spacing w:val="-13"/>
        </w:rPr>
        <w:t xml:space="preserve"> </w:t>
      </w:r>
      <w:r w:rsidRPr="00E66471">
        <w:t>pursuing</w:t>
      </w:r>
      <w:r w:rsidRPr="00E66471">
        <w:rPr>
          <w:spacing w:val="-12"/>
        </w:rPr>
        <w:t xml:space="preserve"> </w:t>
      </w:r>
      <w:r w:rsidRPr="00E66471">
        <w:t>and</w:t>
      </w:r>
      <w:r w:rsidRPr="00E66471">
        <w:rPr>
          <w:spacing w:val="-12"/>
        </w:rPr>
        <w:t xml:space="preserve"> </w:t>
      </w:r>
      <w:r w:rsidRPr="00E66471">
        <w:t>exploring</w:t>
      </w:r>
      <w:r w:rsidRPr="00E66471">
        <w:rPr>
          <w:spacing w:val="-9"/>
        </w:rPr>
        <w:t xml:space="preserve"> </w:t>
      </w:r>
      <w:r w:rsidRPr="00E66471">
        <w:t>all</w:t>
      </w:r>
      <w:r w:rsidRPr="00E66471">
        <w:rPr>
          <w:spacing w:val="-13"/>
        </w:rPr>
        <w:t xml:space="preserve"> </w:t>
      </w:r>
      <w:r w:rsidRPr="00E66471">
        <w:t>issues</w:t>
      </w:r>
      <w:r w:rsidRPr="00E66471">
        <w:rPr>
          <w:spacing w:val="-13"/>
        </w:rPr>
        <w:t xml:space="preserve"> </w:t>
      </w:r>
      <w:r w:rsidRPr="00E66471">
        <w:t>relevant</w:t>
      </w:r>
      <w:r w:rsidRPr="00E66471">
        <w:rPr>
          <w:spacing w:val="-12"/>
        </w:rPr>
        <w:t xml:space="preserve"> </w:t>
      </w:r>
      <w:r w:rsidRPr="00E66471">
        <w:t>to</w:t>
      </w:r>
      <w:r w:rsidRPr="00E66471">
        <w:rPr>
          <w:spacing w:val="-12"/>
        </w:rPr>
        <w:t xml:space="preserve"> </w:t>
      </w:r>
      <w:r w:rsidRPr="00E66471">
        <w:t>the</w:t>
      </w:r>
      <w:r w:rsidRPr="00E66471">
        <w:rPr>
          <w:spacing w:val="-12"/>
        </w:rPr>
        <w:t xml:space="preserve"> </w:t>
      </w:r>
      <w:r w:rsidRPr="00E66471">
        <w:t>business and governance of the firm.</w:t>
      </w:r>
    </w:p>
    <w:p w14:paraId="5517E0E4" w14:textId="77777777" w:rsidR="009A5931" w:rsidRDefault="009A5931" w:rsidP="00575B7B">
      <w:pPr>
        <w:overflowPunct w:val="0"/>
        <w:autoSpaceDE w:val="0"/>
        <w:autoSpaceDN w:val="0"/>
        <w:adjustRightInd w:val="0"/>
        <w:spacing w:line="240" w:lineRule="auto"/>
        <w:textAlignment w:val="baseline"/>
        <w:rPr>
          <w:rFonts w:ascii="Arial" w:eastAsia="MS PGothic" w:hAnsi="Arial"/>
          <w:szCs w:val="24"/>
        </w:rPr>
      </w:pPr>
    </w:p>
    <w:p w14:paraId="54646DA7" w14:textId="0632ADC4" w:rsidR="008B7337" w:rsidRPr="00BB635B" w:rsidRDefault="008B7337" w:rsidP="003F0028">
      <w:pPr>
        <w:keepNext/>
        <w:spacing w:before="240" w:after="120" w:line="216" w:lineRule="auto"/>
        <w:outlineLvl w:val="1"/>
        <w:rPr>
          <w:rFonts w:eastAsiaTheme="minorHAnsi" w:cstheme="minorHAnsi"/>
          <w:b/>
          <w:bCs/>
          <w:iCs/>
          <w:sz w:val="22"/>
          <w:szCs w:val="22"/>
        </w:rPr>
      </w:pPr>
      <w:r w:rsidRPr="00BB635B">
        <w:rPr>
          <w:rFonts w:eastAsiaTheme="minorHAnsi" w:cstheme="minorHAnsi"/>
          <w:b/>
          <w:bCs/>
          <w:iCs/>
          <w:sz w:val="22"/>
          <w:szCs w:val="22"/>
        </w:rPr>
        <w:t>Time Commitment and Fees</w:t>
      </w:r>
    </w:p>
    <w:p w14:paraId="46BB904F" w14:textId="6F358B3E" w:rsidR="00E97E85" w:rsidRDefault="008B6519" w:rsidP="008B6519">
      <w:pPr>
        <w:overflowPunct w:val="0"/>
        <w:autoSpaceDE w:val="0"/>
        <w:autoSpaceDN w:val="0"/>
        <w:adjustRightInd w:val="0"/>
        <w:spacing w:line="240" w:lineRule="auto"/>
        <w:contextualSpacing/>
        <w:jc w:val="both"/>
        <w:textAlignment w:val="baseline"/>
        <w:rPr>
          <w:rFonts w:ascii="Arial" w:eastAsia="MS PGothic" w:hAnsi="Arial"/>
          <w:szCs w:val="24"/>
        </w:rPr>
      </w:pPr>
      <w:r w:rsidRPr="00BE093E">
        <w:rPr>
          <w:rFonts w:ascii="Arial" w:eastAsia="MS PGothic" w:hAnsi="Arial"/>
          <w:szCs w:val="24"/>
        </w:rPr>
        <w:t xml:space="preserve">The </w:t>
      </w:r>
      <w:r w:rsidR="00356E10">
        <w:rPr>
          <w:rFonts w:ascii="Arial" w:eastAsia="MS PGothic" w:hAnsi="Arial"/>
          <w:szCs w:val="24"/>
        </w:rPr>
        <w:t xml:space="preserve">annual </w:t>
      </w:r>
      <w:r w:rsidRPr="00BE093E">
        <w:rPr>
          <w:rFonts w:ascii="Arial" w:eastAsia="MS PGothic" w:hAnsi="Arial"/>
          <w:szCs w:val="24"/>
        </w:rPr>
        <w:t>fee</w:t>
      </w:r>
      <w:r w:rsidR="00E97E85">
        <w:rPr>
          <w:rFonts w:ascii="Arial" w:eastAsia="MS PGothic" w:hAnsi="Arial"/>
          <w:szCs w:val="24"/>
        </w:rPr>
        <w:t>, inclusive of responsibilities as Non-Executive Director and Remuneration Committee Chair, is £26,375</w:t>
      </w:r>
      <w:r w:rsidR="00D26934">
        <w:rPr>
          <w:rFonts w:ascii="Arial" w:eastAsia="MS PGothic" w:hAnsi="Arial"/>
          <w:szCs w:val="24"/>
        </w:rPr>
        <w:t>. The time commitment is estimated to be</w:t>
      </w:r>
      <w:r w:rsidR="00B52E1E">
        <w:rPr>
          <w:rFonts w:ascii="Arial" w:eastAsia="MS PGothic" w:hAnsi="Arial"/>
          <w:szCs w:val="24"/>
        </w:rPr>
        <w:t xml:space="preserve"> a minimum of</w:t>
      </w:r>
      <w:r w:rsidR="00D26934">
        <w:rPr>
          <w:rFonts w:ascii="Arial" w:eastAsia="MS PGothic" w:hAnsi="Arial"/>
          <w:szCs w:val="24"/>
        </w:rPr>
        <w:t xml:space="preserve"> 20 days per annum. </w:t>
      </w:r>
      <w:r w:rsidR="00690C25">
        <w:rPr>
          <w:rFonts w:ascii="Arial" w:eastAsia="MS PGothic" w:hAnsi="Arial"/>
          <w:szCs w:val="24"/>
        </w:rPr>
        <w:t>Board meetings are held in Sheffield and London.</w:t>
      </w:r>
    </w:p>
    <w:p w14:paraId="6CA444D8" w14:textId="77777777" w:rsidR="00356E10" w:rsidRDefault="00356E10" w:rsidP="00BF183F">
      <w:pPr>
        <w:pStyle w:val="Heading2"/>
        <w:spacing w:after="120"/>
      </w:pPr>
      <w:bookmarkStart w:id="7" w:name="_Toc124759799"/>
    </w:p>
    <w:p w14:paraId="36108F7A" w14:textId="5B87325F" w:rsidR="00BF183F" w:rsidRPr="003D6077" w:rsidRDefault="00BF183F" w:rsidP="00BF183F">
      <w:pPr>
        <w:pStyle w:val="Heading2"/>
        <w:spacing w:after="120"/>
      </w:pPr>
      <w:r w:rsidRPr="000C693A">
        <w:t>The Selection and Recruitment Process</w:t>
      </w:r>
      <w:bookmarkEnd w:id="7"/>
    </w:p>
    <w:p w14:paraId="345CFE75" w14:textId="77777777" w:rsidR="00BF183F" w:rsidRDefault="00BF183F" w:rsidP="00BF183F">
      <w:pPr>
        <w:spacing w:after="120"/>
        <w:ind w:left="-6"/>
        <w:contextualSpacing/>
        <w:jc w:val="both"/>
        <w:rPr>
          <w:szCs w:val="8"/>
        </w:rPr>
      </w:pPr>
      <w:r w:rsidRPr="008A0E42">
        <w:rPr>
          <w:szCs w:val="8"/>
        </w:rPr>
        <w:t>Russell Reynolds Associates</w:t>
      </w:r>
      <w:r>
        <w:rPr>
          <w:szCs w:val="8"/>
        </w:rPr>
        <w:t xml:space="preserve"> (RRA)</w:t>
      </w:r>
      <w:r w:rsidRPr="008A0E42">
        <w:rPr>
          <w:szCs w:val="8"/>
        </w:rPr>
        <w:t xml:space="preserve"> has been appointed to support this recruitment. </w:t>
      </w:r>
      <w:r>
        <w:rPr>
          <w:szCs w:val="8"/>
        </w:rPr>
        <w:t xml:space="preserve"> </w:t>
      </w:r>
    </w:p>
    <w:p w14:paraId="6E9A9EC0" w14:textId="77777777" w:rsidR="00BF183F" w:rsidRDefault="00BF183F" w:rsidP="00BF183F">
      <w:pPr>
        <w:spacing w:after="120"/>
        <w:ind w:left="-6"/>
        <w:contextualSpacing/>
        <w:jc w:val="both"/>
        <w:rPr>
          <w:szCs w:val="8"/>
        </w:rPr>
      </w:pPr>
    </w:p>
    <w:p w14:paraId="3CC91A32" w14:textId="77777777" w:rsidR="00BF183F" w:rsidRPr="00DF4600" w:rsidRDefault="00BF183F" w:rsidP="00356E10">
      <w:pPr>
        <w:spacing w:after="120" w:line="240" w:lineRule="auto"/>
        <w:rPr>
          <w:rFonts w:eastAsiaTheme="minorHAnsi" w:cstheme="minorHAnsi"/>
          <w:b/>
          <w:bCs/>
          <w:iCs/>
          <w:sz w:val="22"/>
          <w:szCs w:val="22"/>
        </w:rPr>
      </w:pPr>
      <w:r w:rsidRPr="00DF4600">
        <w:rPr>
          <w:rFonts w:eastAsiaTheme="minorHAnsi" w:cstheme="minorHAnsi"/>
          <w:b/>
          <w:bCs/>
          <w:iCs/>
          <w:sz w:val="22"/>
          <w:szCs w:val="22"/>
        </w:rPr>
        <w:t>Appointment Panel</w:t>
      </w:r>
    </w:p>
    <w:p w14:paraId="09FEC01E" w14:textId="7DAFC627" w:rsidR="00BF183F" w:rsidRDefault="00BF183F" w:rsidP="00BF183F">
      <w:pPr>
        <w:spacing w:line="240" w:lineRule="auto"/>
        <w:rPr>
          <w:rFonts w:eastAsiaTheme="minorHAnsi" w:cstheme="minorHAnsi"/>
          <w:iCs/>
        </w:rPr>
      </w:pPr>
      <w:r w:rsidRPr="00DF4600">
        <w:rPr>
          <w:rFonts w:eastAsiaTheme="minorHAnsi" w:cstheme="minorHAnsi"/>
          <w:iCs/>
        </w:rPr>
        <w:t>The interview panel will comprise</w:t>
      </w:r>
      <w:r w:rsidR="00356E10">
        <w:rPr>
          <w:rFonts w:eastAsiaTheme="minorHAnsi" w:cstheme="minorHAnsi"/>
          <w:iCs/>
        </w:rPr>
        <w:t xml:space="preserve"> (subject to confirmation)</w:t>
      </w:r>
      <w:r w:rsidRPr="00DF4600">
        <w:rPr>
          <w:rFonts w:eastAsiaTheme="minorHAnsi" w:cstheme="minorHAnsi"/>
          <w:iCs/>
        </w:rPr>
        <w:t xml:space="preserve">: </w:t>
      </w:r>
    </w:p>
    <w:p w14:paraId="38BD6EC6" w14:textId="77777777" w:rsidR="00AB64AD" w:rsidRPr="00DF4600" w:rsidRDefault="00AB64AD" w:rsidP="00BF183F">
      <w:pPr>
        <w:spacing w:line="240" w:lineRule="auto"/>
        <w:rPr>
          <w:rFonts w:eastAsiaTheme="minorHAnsi" w:cstheme="minorHAnsi"/>
          <w:iCs/>
        </w:rPr>
      </w:pPr>
    </w:p>
    <w:p w14:paraId="0D1CEB1C" w14:textId="226A9A40" w:rsidR="00BF183F" w:rsidRPr="00DF4600" w:rsidRDefault="00BF183F" w:rsidP="00BF183F">
      <w:pPr>
        <w:pStyle w:val="ListParagraph"/>
        <w:numPr>
          <w:ilvl w:val="0"/>
          <w:numId w:val="42"/>
        </w:numPr>
        <w:spacing w:line="240" w:lineRule="auto"/>
        <w:rPr>
          <w:rFonts w:eastAsiaTheme="minorHAnsi" w:cstheme="minorHAnsi"/>
          <w:iCs/>
        </w:rPr>
      </w:pPr>
      <w:r>
        <w:rPr>
          <w:rFonts w:eastAsiaTheme="minorHAnsi" w:cstheme="minorHAnsi"/>
          <w:b/>
          <w:bCs/>
          <w:iCs/>
        </w:rPr>
        <w:t xml:space="preserve">Stephen Welton, </w:t>
      </w:r>
      <w:r>
        <w:rPr>
          <w:rFonts w:eastAsiaTheme="minorHAnsi" w:cstheme="minorHAnsi"/>
          <w:iCs/>
        </w:rPr>
        <w:t xml:space="preserve">Chair, British Business Bank plc </w:t>
      </w:r>
    </w:p>
    <w:p w14:paraId="29744B18" w14:textId="09259715" w:rsidR="00BF183F" w:rsidRPr="00DF4600" w:rsidRDefault="00BF183F" w:rsidP="00BF183F">
      <w:pPr>
        <w:pStyle w:val="ListParagraph"/>
        <w:numPr>
          <w:ilvl w:val="0"/>
          <w:numId w:val="42"/>
        </w:numPr>
        <w:spacing w:line="240" w:lineRule="auto"/>
        <w:rPr>
          <w:rFonts w:eastAsiaTheme="minorHAnsi" w:cstheme="minorHAnsi"/>
          <w:iCs/>
        </w:rPr>
      </w:pPr>
      <w:r>
        <w:rPr>
          <w:rFonts w:eastAsiaTheme="minorHAnsi" w:cstheme="minorHAnsi"/>
          <w:b/>
          <w:bCs/>
          <w:iCs/>
        </w:rPr>
        <w:t xml:space="preserve">Robert Razzell, </w:t>
      </w:r>
      <w:r>
        <w:rPr>
          <w:rFonts w:eastAsiaTheme="minorHAnsi" w:cstheme="minorHAnsi"/>
          <w:iCs/>
        </w:rPr>
        <w:t>Chief Financial Officer, UK Government Investments (UKGI)</w:t>
      </w:r>
    </w:p>
    <w:p w14:paraId="6D719ADA" w14:textId="28D6E688" w:rsidR="00BF183F" w:rsidRPr="00BF183F" w:rsidRDefault="00BF183F" w:rsidP="00BF183F">
      <w:pPr>
        <w:pStyle w:val="ListParagraph"/>
        <w:numPr>
          <w:ilvl w:val="0"/>
          <w:numId w:val="42"/>
        </w:numPr>
        <w:spacing w:line="240" w:lineRule="auto"/>
        <w:rPr>
          <w:rFonts w:eastAsiaTheme="minorHAnsi" w:cstheme="minorHAnsi"/>
          <w:iCs/>
        </w:rPr>
      </w:pPr>
      <w:r w:rsidRPr="00BF183F">
        <w:rPr>
          <w:rFonts w:eastAsiaTheme="minorHAnsi" w:cstheme="minorHAnsi"/>
          <w:b/>
          <w:bCs/>
          <w:iCs/>
        </w:rPr>
        <w:t xml:space="preserve">Eilish Jamieson, </w:t>
      </w:r>
      <w:r w:rsidRPr="00BF183F">
        <w:rPr>
          <w:rFonts w:eastAsiaTheme="minorHAnsi" w:cstheme="minorHAnsi"/>
          <w:iCs/>
        </w:rPr>
        <w:t>Non-Executive Director, British</w:t>
      </w:r>
      <w:r>
        <w:rPr>
          <w:rFonts w:eastAsiaTheme="minorHAnsi" w:cstheme="minorHAnsi"/>
          <w:iCs/>
        </w:rPr>
        <w:t xml:space="preserve"> Business Bank plc </w:t>
      </w:r>
    </w:p>
    <w:p w14:paraId="3A4E93CF" w14:textId="77777777" w:rsidR="00BF183F" w:rsidRPr="00482CD0" w:rsidRDefault="00BF183F" w:rsidP="00BF183F">
      <w:pPr>
        <w:jc w:val="both"/>
        <w:rPr>
          <w:rFonts w:cstheme="minorHAnsi"/>
          <w:color w:val="181818" w:themeColor="text2" w:themeShade="BF"/>
        </w:rPr>
      </w:pPr>
      <w:r>
        <w:rPr>
          <w:rFonts w:cstheme="minorHAnsi"/>
          <w:color w:val="181818" w:themeColor="text2" w:themeShade="BF"/>
        </w:rPr>
        <w:t>An indicative timeline is provided below but please note this may be subject to change.</w:t>
      </w:r>
    </w:p>
    <w:p w14:paraId="7389345A" w14:textId="77777777" w:rsidR="00BF183F" w:rsidRDefault="00BF183F" w:rsidP="00BF183F">
      <w:pPr>
        <w:jc w:val="both"/>
        <w:rPr>
          <w:rFonts w:eastAsiaTheme="minorHAnsi" w:cstheme="minorHAnsi"/>
          <w:b/>
          <w:iCs/>
          <w:sz w:val="22"/>
          <w:szCs w:val="22"/>
        </w:rPr>
      </w:pPr>
    </w:p>
    <w:p w14:paraId="71AA5DD3" w14:textId="77777777" w:rsidR="00BF183F" w:rsidRDefault="00BF183F" w:rsidP="00BF183F">
      <w:pPr>
        <w:spacing w:after="120"/>
        <w:jc w:val="both"/>
        <w:rPr>
          <w:rFonts w:cstheme="minorHAnsi"/>
        </w:rPr>
      </w:pPr>
      <w:r w:rsidRPr="00C83484">
        <w:rPr>
          <w:rFonts w:eastAsiaTheme="minorHAnsi" w:cstheme="minorHAnsi"/>
          <w:b/>
          <w:iCs/>
          <w:sz w:val="22"/>
          <w:szCs w:val="22"/>
        </w:rPr>
        <w:t>Indicative Timetable</w:t>
      </w:r>
    </w:p>
    <w:tbl>
      <w:tblPr>
        <w:tblW w:w="9064" w:type="dxa"/>
        <w:tblBorders>
          <w:insideV w:val="single" w:sz="4" w:space="0" w:color="4A0080" w:themeColor="accent2"/>
        </w:tblBorders>
        <w:tblCellMar>
          <w:left w:w="0" w:type="dxa"/>
          <w:right w:w="0" w:type="dxa"/>
        </w:tblCellMar>
        <w:tblLook w:val="04A0" w:firstRow="1" w:lastRow="0" w:firstColumn="1" w:lastColumn="0" w:noHBand="0" w:noVBand="1"/>
      </w:tblPr>
      <w:tblGrid>
        <w:gridCol w:w="4536"/>
        <w:gridCol w:w="4528"/>
      </w:tblGrid>
      <w:tr w:rsidR="00BF183F" w:rsidRPr="008A46B6" w14:paraId="251DAB6F" w14:textId="77777777" w:rsidTr="00F36BAA">
        <w:tc>
          <w:tcPr>
            <w:tcW w:w="4536" w:type="dxa"/>
            <w:tcMar>
              <w:top w:w="0" w:type="dxa"/>
              <w:left w:w="108" w:type="dxa"/>
              <w:bottom w:w="0" w:type="dxa"/>
              <w:right w:w="108" w:type="dxa"/>
            </w:tcMar>
            <w:hideMark/>
          </w:tcPr>
          <w:p w14:paraId="2FDE4EAE" w14:textId="77777777" w:rsidR="00BF183F" w:rsidRPr="00C83484" w:rsidRDefault="00BF183F" w:rsidP="00F36BAA">
            <w:pPr>
              <w:snapToGrid w:val="0"/>
              <w:spacing w:after="120"/>
              <w:jc w:val="right"/>
              <w:rPr>
                <w:b/>
                <w:bCs/>
                <w:iCs/>
              </w:rPr>
            </w:pPr>
            <w:r w:rsidRPr="00C83484">
              <w:rPr>
                <w:b/>
                <w:bCs/>
                <w:iCs/>
              </w:rPr>
              <w:t>Closing date for applications</w:t>
            </w:r>
          </w:p>
        </w:tc>
        <w:tc>
          <w:tcPr>
            <w:tcW w:w="4528" w:type="dxa"/>
            <w:tcMar>
              <w:top w:w="0" w:type="dxa"/>
              <w:left w:w="108" w:type="dxa"/>
              <w:bottom w:w="0" w:type="dxa"/>
              <w:right w:w="108" w:type="dxa"/>
            </w:tcMar>
            <w:hideMark/>
          </w:tcPr>
          <w:p w14:paraId="7E7D39C1" w14:textId="7F8935FF" w:rsidR="00BF183F" w:rsidRPr="00C83484" w:rsidRDefault="00356E10" w:rsidP="00F36BAA">
            <w:pPr>
              <w:pStyle w:val="BodyText"/>
              <w:rPr>
                <w:iCs/>
              </w:rPr>
            </w:pPr>
            <w:r>
              <w:rPr>
                <w:rFonts w:cstheme="minorHAnsi"/>
                <w:b/>
                <w:bCs/>
                <w:iCs/>
                <w:szCs w:val="20"/>
              </w:rPr>
              <w:t>20</w:t>
            </w:r>
            <w:r w:rsidR="00BF183F" w:rsidRPr="00BF183F">
              <w:rPr>
                <w:rFonts w:cstheme="minorHAnsi"/>
                <w:b/>
                <w:bCs/>
                <w:iCs/>
                <w:szCs w:val="20"/>
                <w:vertAlign w:val="superscript"/>
              </w:rPr>
              <w:t>th</w:t>
            </w:r>
            <w:r w:rsidR="00BF183F">
              <w:rPr>
                <w:rFonts w:cstheme="minorHAnsi"/>
                <w:b/>
                <w:bCs/>
                <w:iCs/>
                <w:szCs w:val="20"/>
              </w:rPr>
              <w:t xml:space="preserve"> January </w:t>
            </w:r>
            <w:r>
              <w:rPr>
                <w:rFonts w:cstheme="minorHAnsi"/>
                <w:b/>
                <w:bCs/>
                <w:iCs/>
                <w:szCs w:val="20"/>
              </w:rPr>
              <w:t>2025</w:t>
            </w:r>
          </w:p>
        </w:tc>
      </w:tr>
      <w:tr w:rsidR="00BF183F" w:rsidRPr="00CF3929" w14:paraId="277B7E1E" w14:textId="77777777" w:rsidTr="00F36BAA">
        <w:tc>
          <w:tcPr>
            <w:tcW w:w="4536" w:type="dxa"/>
            <w:tcMar>
              <w:top w:w="0" w:type="dxa"/>
              <w:left w:w="108" w:type="dxa"/>
              <w:bottom w:w="0" w:type="dxa"/>
              <w:right w:w="108" w:type="dxa"/>
            </w:tcMar>
            <w:hideMark/>
          </w:tcPr>
          <w:p w14:paraId="497C8BDD" w14:textId="77777777" w:rsidR="00BF183F" w:rsidRPr="00BF183F" w:rsidRDefault="00BF183F" w:rsidP="00F36BAA">
            <w:pPr>
              <w:snapToGrid w:val="0"/>
              <w:spacing w:after="120"/>
              <w:jc w:val="right"/>
              <w:rPr>
                <w:iCs/>
              </w:rPr>
            </w:pPr>
            <w:r w:rsidRPr="00BF183F">
              <w:rPr>
                <w:iCs/>
              </w:rPr>
              <w:t>Preliminary interviews with RRA</w:t>
            </w:r>
          </w:p>
        </w:tc>
        <w:tc>
          <w:tcPr>
            <w:tcW w:w="4528" w:type="dxa"/>
            <w:tcMar>
              <w:top w:w="0" w:type="dxa"/>
              <w:left w:w="108" w:type="dxa"/>
              <w:bottom w:w="0" w:type="dxa"/>
              <w:right w:w="108" w:type="dxa"/>
            </w:tcMar>
            <w:hideMark/>
          </w:tcPr>
          <w:p w14:paraId="4A0E73C1" w14:textId="2E3CB2B5" w:rsidR="00BF183F" w:rsidRPr="00BF183F" w:rsidRDefault="00BF183F" w:rsidP="00F36BAA">
            <w:pPr>
              <w:pStyle w:val="BodyText"/>
              <w:rPr>
                <w:iCs/>
              </w:rPr>
            </w:pPr>
            <w:r w:rsidRPr="00BF183F">
              <w:rPr>
                <w:iCs/>
              </w:rPr>
              <w:t xml:space="preserve">w/c </w:t>
            </w:r>
            <w:r w:rsidR="00A32002">
              <w:rPr>
                <w:iCs/>
              </w:rPr>
              <w:t>20</w:t>
            </w:r>
            <w:r w:rsidR="00A32002" w:rsidRPr="00A32002">
              <w:rPr>
                <w:iCs/>
                <w:vertAlign w:val="superscript"/>
              </w:rPr>
              <w:t>th</w:t>
            </w:r>
            <w:r w:rsidR="00A32002">
              <w:rPr>
                <w:iCs/>
              </w:rPr>
              <w:t xml:space="preserve"> January </w:t>
            </w:r>
          </w:p>
        </w:tc>
      </w:tr>
      <w:tr w:rsidR="00BF183F" w:rsidRPr="008A46B6" w14:paraId="62216D7D" w14:textId="77777777" w:rsidTr="00F36BAA">
        <w:tc>
          <w:tcPr>
            <w:tcW w:w="4536" w:type="dxa"/>
            <w:tcMar>
              <w:top w:w="0" w:type="dxa"/>
              <w:left w:w="108" w:type="dxa"/>
              <w:bottom w:w="0" w:type="dxa"/>
              <w:right w:w="108" w:type="dxa"/>
            </w:tcMar>
          </w:tcPr>
          <w:p w14:paraId="6A01FAD6" w14:textId="77777777" w:rsidR="00BF183F" w:rsidRPr="0094712E" w:rsidRDefault="00BF183F" w:rsidP="00F36BAA">
            <w:pPr>
              <w:jc w:val="right"/>
              <w:rPr>
                <w:i/>
              </w:rPr>
            </w:pPr>
            <w:r>
              <w:rPr>
                <w:i/>
              </w:rPr>
              <w:t>Shortlist Meeting (Appointment Panel only)</w:t>
            </w:r>
          </w:p>
        </w:tc>
        <w:tc>
          <w:tcPr>
            <w:tcW w:w="4528" w:type="dxa"/>
            <w:tcMar>
              <w:top w:w="0" w:type="dxa"/>
              <w:left w:w="108" w:type="dxa"/>
              <w:bottom w:w="0" w:type="dxa"/>
              <w:right w:w="108" w:type="dxa"/>
            </w:tcMar>
            <w:hideMark/>
          </w:tcPr>
          <w:p w14:paraId="6900E36B" w14:textId="266ABF66" w:rsidR="00BF183F" w:rsidRPr="00C83484" w:rsidRDefault="00BF183F" w:rsidP="00F36BAA">
            <w:pPr>
              <w:pStyle w:val="BodyText"/>
              <w:rPr>
                <w:iCs/>
              </w:rPr>
            </w:pPr>
            <w:r>
              <w:rPr>
                <w:iCs/>
              </w:rPr>
              <w:t>w/c 27</w:t>
            </w:r>
            <w:r w:rsidRPr="00BF183F">
              <w:rPr>
                <w:iCs/>
                <w:vertAlign w:val="superscript"/>
              </w:rPr>
              <w:t>th</w:t>
            </w:r>
            <w:r>
              <w:rPr>
                <w:iCs/>
              </w:rPr>
              <w:t xml:space="preserve"> January </w:t>
            </w:r>
          </w:p>
        </w:tc>
      </w:tr>
      <w:tr w:rsidR="00A32002" w:rsidRPr="008A46B6" w14:paraId="36C7B10F" w14:textId="77777777" w:rsidTr="00F36BAA">
        <w:tc>
          <w:tcPr>
            <w:tcW w:w="4536" w:type="dxa"/>
            <w:tcMar>
              <w:top w:w="0" w:type="dxa"/>
              <w:left w:w="108" w:type="dxa"/>
              <w:bottom w:w="0" w:type="dxa"/>
              <w:right w:w="108" w:type="dxa"/>
            </w:tcMar>
          </w:tcPr>
          <w:p w14:paraId="0F1BD3F8" w14:textId="6BE3EDED" w:rsidR="00A32002" w:rsidRPr="00356E10" w:rsidRDefault="00356E10" w:rsidP="00A32002">
            <w:pPr>
              <w:jc w:val="right"/>
              <w:rPr>
                <w:iCs/>
              </w:rPr>
            </w:pPr>
            <w:r w:rsidRPr="00356E10">
              <w:rPr>
                <w:iCs/>
              </w:rPr>
              <w:t>Further interview and briefing with RRA</w:t>
            </w:r>
            <w:r w:rsidR="00A32002" w:rsidRPr="00356E10">
              <w:rPr>
                <w:iCs/>
              </w:rPr>
              <w:t xml:space="preserve"> </w:t>
            </w:r>
          </w:p>
        </w:tc>
        <w:tc>
          <w:tcPr>
            <w:tcW w:w="4528" w:type="dxa"/>
            <w:tcMar>
              <w:top w:w="0" w:type="dxa"/>
              <w:left w:w="108" w:type="dxa"/>
              <w:bottom w:w="0" w:type="dxa"/>
              <w:right w:w="108" w:type="dxa"/>
            </w:tcMar>
          </w:tcPr>
          <w:p w14:paraId="399F7E93" w14:textId="6134504C" w:rsidR="00A32002" w:rsidRDefault="00A32002" w:rsidP="00A32002">
            <w:pPr>
              <w:pStyle w:val="BodyText"/>
              <w:rPr>
                <w:iCs/>
              </w:rPr>
            </w:pPr>
            <w:r w:rsidRPr="00C83484">
              <w:rPr>
                <w:iCs/>
              </w:rPr>
              <w:t xml:space="preserve">w/c </w:t>
            </w:r>
            <w:r>
              <w:rPr>
                <w:iCs/>
              </w:rPr>
              <w:t>27</w:t>
            </w:r>
            <w:r w:rsidRPr="00A32002">
              <w:rPr>
                <w:iCs/>
                <w:vertAlign w:val="superscript"/>
              </w:rPr>
              <w:t>th</w:t>
            </w:r>
            <w:r>
              <w:rPr>
                <w:iCs/>
              </w:rPr>
              <w:t xml:space="preserve"> January and 3</w:t>
            </w:r>
            <w:r w:rsidRPr="00A32002">
              <w:rPr>
                <w:iCs/>
                <w:vertAlign w:val="superscript"/>
              </w:rPr>
              <w:t>rd</w:t>
            </w:r>
            <w:r>
              <w:rPr>
                <w:iCs/>
              </w:rPr>
              <w:t xml:space="preserve"> February  </w:t>
            </w:r>
          </w:p>
        </w:tc>
      </w:tr>
      <w:tr w:rsidR="00BF183F" w:rsidRPr="008A46B6" w14:paraId="2E9EE1B0" w14:textId="77777777" w:rsidTr="00F36BAA">
        <w:tc>
          <w:tcPr>
            <w:tcW w:w="4536" w:type="dxa"/>
            <w:tcMar>
              <w:top w:w="0" w:type="dxa"/>
              <w:left w:w="108" w:type="dxa"/>
              <w:bottom w:w="0" w:type="dxa"/>
              <w:right w:w="108" w:type="dxa"/>
            </w:tcMar>
          </w:tcPr>
          <w:p w14:paraId="37724AA6" w14:textId="29F30693" w:rsidR="00BF183F" w:rsidRPr="00C83484" w:rsidRDefault="00BF183F" w:rsidP="00F36BAA">
            <w:pPr>
              <w:snapToGrid w:val="0"/>
              <w:spacing w:after="120"/>
              <w:jc w:val="right"/>
              <w:rPr>
                <w:b/>
                <w:bCs/>
                <w:iCs/>
              </w:rPr>
            </w:pPr>
            <w:r w:rsidRPr="00C83484">
              <w:rPr>
                <w:b/>
                <w:bCs/>
                <w:iCs/>
              </w:rPr>
              <w:t>Panel Interviews</w:t>
            </w:r>
          </w:p>
        </w:tc>
        <w:tc>
          <w:tcPr>
            <w:tcW w:w="4528" w:type="dxa"/>
            <w:tcMar>
              <w:top w:w="0" w:type="dxa"/>
              <w:left w:w="108" w:type="dxa"/>
              <w:bottom w:w="0" w:type="dxa"/>
              <w:right w:w="108" w:type="dxa"/>
            </w:tcMar>
          </w:tcPr>
          <w:p w14:paraId="36A68DE9" w14:textId="52CFB147" w:rsidR="00BF183F" w:rsidRPr="000F54E6" w:rsidRDefault="00BF183F" w:rsidP="00F36BAA">
            <w:pPr>
              <w:pStyle w:val="BodyText"/>
              <w:rPr>
                <w:b/>
                <w:bCs/>
                <w:iCs/>
              </w:rPr>
            </w:pPr>
            <w:r w:rsidRPr="000F54E6">
              <w:rPr>
                <w:b/>
                <w:bCs/>
                <w:iCs/>
              </w:rPr>
              <w:t xml:space="preserve">w/c </w:t>
            </w:r>
            <w:r>
              <w:rPr>
                <w:b/>
                <w:bCs/>
                <w:iCs/>
              </w:rPr>
              <w:t>3</w:t>
            </w:r>
            <w:r w:rsidRPr="00BF183F">
              <w:rPr>
                <w:b/>
                <w:bCs/>
                <w:iCs/>
                <w:vertAlign w:val="superscript"/>
              </w:rPr>
              <w:t>rd</w:t>
            </w:r>
            <w:r>
              <w:rPr>
                <w:b/>
                <w:bCs/>
                <w:iCs/>
              </w:rPr>
              <w:t xml:space="preserve"> and 10</w:t>
            </w:r>
            <w:r w:rsidRPr="00BF183F">
              <w:rPr>
                <w:b/>
                <w:bCs/>
                <w:iCs/>
                <w:vertAlign w:val="superscript"/>
              </w:rPr>
              <w:t>th</w:t>
            </w:r>
            <w:r>
              <w:rPr>
                <w:b/>
                <w:bCs/>
                <w:iCs/>
              </w:rPr>
              <w:t xml:space="preserve"> February </w:t>
            </w:r>
          </w:p>
        </w:tc>
      </w:tr>
    </w:tbl>
    <w:p w14:paraId="71BC2FEB" w14:textId="77777777" w:rsidR="00356E10" w:rsidRDefault="00356E10" w:rsidP="00BF183F">
      <w:pPr>
        <w:pStyle w:val="Heading2"/>
        <w:spacing w:after="120"/>
      </w:pPr>
      <w:bookmarkStart w:id="8" w:name="_Toc124759800"/>
    </w:p>
    <w:p w14:paraId="2044DFB3" w14:textId="65831B53" w:rsidR="00BF183F" w:rsidRPr="00187099" w:rsidRDefault="00BF183F" w:rsidP="00BF183F">
      <w:pPr>
        <w:pStyle w:val="Heading2"/>
        <w:spacing w:after="120"/>
      </w:pPr>
      <w:r>
        <w:t>H</w:t>
      </w:r>
      <w:r w:rsidRPr="000C693A">
        <w:t>ow to Apply</w:t>
      </w:r>
      <w:bookmarkEnd w:id="8"/>
    </w:p>
    <w:p w14:paraId="0D46A9CD" w14:textId="7AD33BF6" w:rsidR="00BF183F" w:rsidRPr="007C4242" w:rsidRDefault="00BF183F" w:rsidP="00BF183F">
      <w:pPr>
        <w:spacing w:line="0" w:lineRule="atLeast"/>
        <w:rPr>
          <w:rFonts w:cstheme="minorHAnsi"/>
          <w:b/>
          <w:bCs/>
          <w:color w:val="181818" w:themeColor="text2" w:themeShade="BF"/>
        </w:rPr>
      </w:pPr>
      <w:r w:rsidRPr="007C4242">
        <w:rPr>
          <w:rFonts w:cstheme="minorHAnsi"/>
          <w:b/>
          <w:bCs/>
          <w:color w:val="181818" w:themeColor="text2" w:themeShade="BF"/>
        </w:rPr>
        <w:t xml:space="preserve">The </w:t>
      </w:r>
      <w:r>
        <w:rPr>
          <w:rFonts w:cstheme="minorHAnsi"/>
          <w:b/>
          <w:bCs/>
          <w:color w:val="181818" w:themeColor="text2" w:themeShade="BF"/>
        </w:rPr>
        <w:t xml:space="preserve">closing date </w:t>
      </w:r>
      <w:r w:rsidRPr="007C4242">
        <w:rPr>
          <w:rFonts w:cstheme="minorHAnsi"/>
          <w:b/>
          <w:bCs/>
          <w:color w:val="181818" w:themeColor="text2" w:themeShade="BF"/>
        </w:rPr>
        <w:t xml:space="preserve">for applications is </w:t>
      </w:r>
      <w:r w:rsidR="00356E10">
        <w:rPr>
          <w:rFonts w:cstheme="minorHAnsi"/>
          <w:b/>
          <w:bCs/>
          <w:color w:val="181818" w:themeColor="text2" w:themeShade="BF"/>
        </w:rPr>
        <w:t>20</w:t>
      </w:r>
      <w:r w:rsidRPr="00DF4600">
        <w:rPr>
          <w:rFonts w:cstheme="minorHAnsi"/>
          <w:b/>
          <w:bCs/>
          <w:color w:val="181818" w:themeColor="text2" w:themeShade="BF"/>
          <w:vertAlign w:val="superscript"/>
        </w:rPr>
        <w:t>th</w:t>
      </w:r>
      <w:r w:rsidRPr="00DF4600">
        <w:rPr>
          <w:rFonts w:cstheme="minorHAnsi"/>
          <w:b/>
          <w:bCs/>
          <w:color w:val="181818" w:themeColor="text2" w:themeShade="BF"/>
        </w:rPr>
        <w:t xml:space="preserve"> </w:t>
      </w:r>
      <w:r w:rsidR="00A32002">
        <w:rPr>
          <w:rFonts w:cstheme="minorHAnsi"/>
          <w:b/>
          <w:bCs/>
          <w:color w:val="181818" w:themeColor="text2" w:themeShade="BF"/>
        </w:rPr>
        <w:t>January</w:t>
      </w:r>
      <w:r w:rsidRPr="00DF4600">
        <w:rPr>
          <w:rFonts w:cstheme="minorHAnsi"/>
          <w:b/>
          <w:bCs/>
          <w:color w:val="181818" w:themeColor="text2" w:themeShade="BF"/>
        </w:rPr>
        <w:t xml:space="preserve"> 202</w:t>
      </w:r>
      <w:r w:rsidR="00A32002">
        <w:rPr>
          <w:rFonts w:cstheme="minorHAnsi"/>
          <w:b/>
          <w:bCs/>
          <w:color w:val="181818" w:themeColor="text2" w:themeShade="BF"/>
        </w:rPr>
        <w:t>5</w:t>
      </w:r>
      <w:r w:rsidRPr="00DF4600">
        <w:rPr>
          <w:rFonts w:cstheme="minorHAnsi"/>
          <w:b/>
          <w:bCs/>
          <w:color w:val="181818" w:themeColor="text2" w:themeShade="BF"/>
        </w:rPr>
        <w:t>.</w:t>
      </w:r>
      <w:r>
        <w:rPr>
          <w:rFonts w:cstheme="minorHAnsi"/>
          <w:b/>
          <w:bCs/>
          <w:color w:val="181818" w:themeColor="text2" w:themeShade="BF"/>
        </w:rPr>
        <w:t xml:space="preserve"> </w:t>
      </w:r>
    </w:p>
    <w:p w14:paraId="6AECD3CB" w14:textId="77777777" w:rsidR="00BF183F" w:rsidRPr="00482CD0" w:rsidRDefault="00BF183F" w:rsidP="00BF183F">
      <w:pPr>
        <w:rPr>
          <w:rFonts w:cstheme="minorHAnsi"/>
          <w:color w:val="181818" w:themeColor="text2" w:themeShade="BF"/>
        </w:rPr>
      </w:pPr>
    </w:p>
    <w:p w14:paraId="1A86070A" w14:textId="77777777" w:rsidR="00BF183F" w:rsidRDefault="00BF183F" w:rsidP="00BF183F">
      <w:pPr>
        <w:spacing w:after="120"/>
        <w:ind w:left="-6"/>
        <w:jc w:val="both"/>
        <w:rPr>
          <w:rFonts w:cstheme="minorHAnsi"/>
        </w:rPr>
      </w:pPr>
      <w:r w:rsidRPr="00673B36">
        <w:rPr>
          <w:rFonts w:cstheme="minorHAnsi"/>
          <w:color w:val="181818" w:themeColor="text2" w:themeShade="BF"/>
        </w:rPr>
        <w:t xml:space="preserve">Please submit your full application by email to </w:t>
      </w:r>
      <w:hyperlink r:id="rId22" w:history="1">
        <w:r w:rsidRPr="00A26394">
          <w:rPr>
            <w:rStyle w:val="Hyperlink"/>
          </w:rPr>
          <w:t>responses@russellreynolds.com</w:t>
        </w:r>
      </w:hyperlink>
      <w:r w:rsidRPr="00673B36">
        <w:rPr>
          <w:rFonts w:cstheme="minorHAnsi"/>
          <w:color w:val="181818" w:themeColor="text2" w:themeShade="BF"/>
        </w:rPr>
        <w:t>.</w:t>
      </w:r>
      <w:r>
        <w:rPr>
          <w:rFonts w:cstheme="minorHAnsi"/>
          <w:color w:val="181818" w:themeColor="text2" w:themeShade="BF"/>
        </w:rPr>
        <w:t xml:space="preserve"> </w:t>
      </w:r>
      <w:r w:rsidRPr="00673B36">
        <w:rPr>
          <w:rFonts w:cstheme="minorHAnsi"/>
          <w:color w:val="181818" w:themeColor="text2" w:themeShade="BF"/>
        </w:rPr>
        <w:t xml:space="preserve">All applications will be </w:t>
      </w:r>
      <w:r w:rsidRPr="00EA5E6D">
        <w:rPr>
          <w:rFonts w:cstheme="minorHAnsi"/>
        </w:rPr>
        <w:t xml:space="preserve">acknowledged. </w:t>
      </w:r>
    </w:p>
    <w:p w14:paraId="22C8BA84" w14:textId="77777777" w:rsidR="00BF183F" w:rsidRPr="0012416C" w:rsidRDefault="00BF183F" w:rsidP="00BF183F">
      <w:pPr>
        <w:spacing w:after="120"/>
        <w:ind w:left="-6"/>
        <w:jc w:val="both"/>
        <w:rPr>
          <w:rFonts w:cstheme="minorHAnsi"/>
          <w:color w:val="181818" w:themeColor="text2" w:themeShade="BF"/>
        </w:rPr>
      </w:pPr>
      <w:r w:rsidRPr="00EA5E6D">
        <w:rPr>
          <w:rFonts w:cstheme="minorHAnsi"/>
        </w:rPr>
        <w:t>All applications must include the following:</w:t>
      </w:r>
    </w:p>
    <w:p w14:paraId="09A8100E" w14:textId="310C73D3" w:rsidR="00BF183F" w:rsidRDefault="00BF183F" w:rsidP="00BF183F">
      <w:pPr>
        <w:numPr>
          <w:ilvl w:val="0"/>
          <w:numId w:val="41"/>
        </w:numPr>
        <w:spacing w:after="120"/>
        <w:jc w:val="both"/>
        <w:rPr>
          <w:rFonts w:cstheme="minorHAnsi"/>
        </w:rPr>
      </w:pPr>
      <w:r w:rsidRPr="00673B36">
        <w:rPr>
          <w:rFonts w:cstheme="minorHAnsi"/>
          <w:color w:val="181818" w:themeColor="text2" w:themeShade="BF"/>
        </w:rPr>
        <w:t xml:space="preserve">Please quote the </w:t>
      </w:r>
      <w:r w:rsidRPr="0012416C">
        <w:rPr>
          <w:rFonts w:cstheme="minorHAnsi"/>
          <w:b/>
          <w:bCs/>
          <w:color w:val="181818" w:themeColor="text2" w:themeShade="BF"/>
        </w:rPr>
        <w:t>role title</w:t>
      </w:r>
      <w:r w:rsidRPr="00673B36">
        <w:rPr>
          <w:rFonts w:cstheme="minorHAnsi"/>
          <w:color w:val="181818" w:themeColor="text2" w:themeShade="BF"/>
        </w:rPr>
        <w:t xml:space="preserve"> and </w:t>
      </w:r>
      <w:r w:rsidRPr="0012416C">
        <w:rPr>
          <w:rFonts w:cstheme="minorHAnsi"/>
          <w:b/>
          <w:bCs/>
          <w:color w:val="181818" w:themeColor="text2" w:themeShade="BF"/>
        </w:rPr>
        <w:t>reference number</w:t>
      </w:r>
      <w:bookmarkStart w:id="9" w:name="_Hlk124259005"/>
      <w:r>
        <w:rPr>
          <w:rFonts w:cstheme="minorHAnsi"/>
          <w:color w:val="181818" w:themeColor="text2" w:themeShade="BF"/>
        </w:rPr>
        <w:t>:</w:t>
      </w:r>
      <w:r>
        <w:rPr>
          <w:rFonts w:cstheme="minorHAnsi"/>
          <w:b/>
          <w:bCs/>
          <w:color w:val="181818" w:themeColor="text2" w:themeShade="BF"/>
        </w:rPr>
        <w:t xml:space="preserve"> </w:t>
      </w:r>
      <w:bookmarkEnd w:id="9"/>
      <w:r w:rsidR="00A32002" w:rsidRPr="00A32002">
        <w:rPr>
          <w:rFonts w:ascii="Arial" w:hAnsi="Arial" w:cs="Arial"/>
          <w:b/>
          <w:bCs/>
          <w:color w:val="000000"/>
          <w:sz w:val="18"/>
          <w:szCs w:val="18"/>
        </w:rPr>
        <w:t>P2412-010L</w:t>
      </w:r>
      <w:r w:rsidR="00A32002" w:rsidRPr="00A32002">
        <w:rPr>
          <w:rFonts w:ascii="Arial" w:hAnsi="Arial" w:cs="Arial"/>
          <w:color w:val="000000"/>
          <w:sz w:val="18"/>
          <w:szCs w:val="18"/>
        </w:rPr>
        <w:t xml:space="preserve"> </w:t>
      </w:r>
      <w:r w:rsidRPr="00673B36">
        <w:rPr>
          <w:rFonts w:cstheme="minorHAnsi"/>
          <w:color w:val="181818" w:themeColor="text2" w:themeShade="BF"/>
        </w:rPr>
        <w:t>in the subject heading of the email.</w:t>
      </w:r>
    </w:p>
    <w:p w14:paraId="0F7CA21C" w14:textId="77777777" w:rsidR="00BF183F" w:rsidRPr="00EA5E6D" w:rsidRDefault="00BF183F" w:rsidP="00BF183F">
      <w:pPr>
        <w:numPr>
          <w:ilvl w:val="0"/>
          <w:numId w:val="41"/>
        </w:numPr>
        <w:spacing w:after="120"/>
        <w:jc w:val="both"/>
        <w:rPr>
          <w:rFonts w:cstheme="minorHAnsi"/>
        </w:rPr>
      </w:pPr>
      <w:r w:rsidRPr="00EA5E6D">
        <w:rPr>
          <w:rFonts w:cstheme="minorHAnsi"/>
        </w:rPr>
        <w:t xml:space="preserve">A </w:t>
      </w:r>
      <w:r w:rsidRPr="00EA5E6D">
        <w:rPr>
          <w:rFonts w:cstheme="minorHAnsi"/>
          <w:b/>
          <w:bCs/>
        </w:rPr>
        <w:t>Curriculum Vitae</w:t>
      </w:r>
      <w:r w:rsidRPr="00EA5E6D">
        <w:rPr>
          <w:rFonts w:cstheme="minorHAnsi"/>
        </w:rPr>
        <w:t xml:space="preserve"> </w:t>
      </w:r>
      <w:r w:rsidRPr="00EA5E6D">
        <w:rPr>
          <w:rFonts w:cstheme="minorHAnsi"/>
          <w:noProof/>
        </w:rPr>
        <w:t>setting out your career history, with key responsibilities and achievements tailored to the person specification. Please ensure you have provided reasons for any gaps</w:t>
      </w:r>
      <w:r>
        <w:rPr>
          <w:rFonts w:cstheme="minorHAnsi"/>
          <w:noProof/>
        </w:rPr>
        <w:t>.</w:t>
      </w:r>
    </w:p>
    <w:p w14:paraId="3B63C86A" w14:textId="77777777" w:rsidR="00BF183F" w:rsidRPr="00DC67F0" w:rsidRDefault="00BF183F" w:rsidP="00BF183F">
      <w:pPr>
        <w:pStyle w:val="ListBullet"/>
        <w:numPr>
          <w:ilvl w:val="0"/>
          <w:numId w:val="41"/>
        </w:numPr>
        <w:spacing w:after="120" w:line="280" w:lineRule="atLeast"/>
        <w:contextualSpacing w:val="0"/>
        <w:rPr>
          <w:rFonts w:cstheme="minorHAnsi"/>
        </w:rPr>
      </w:pPr>
      <w:r w:rsidRPr="00EA5E6D">
        <w:rPr>
          <w:rFonts w:cstheme="minorHAnsi"/>
          <w:noProof/>
        </w:rPr>
        <w:t xml:space="preserve">A </w:t>
      </w:r>
      <w:r w:rsidRPr="00EA5E6D">
        <w:rPr>
          <w:rFonts w:cstheme="minorHAnsi"/>
          <w:b/>
          <w:bCs/>
          <w:noProof/>
        </w:rPr>
        <w:t>Supporting Statement</w:t>
      </w:r>
      <w:r w:rsidRPr="00EA5E6D">
        <w:rPr>
          <w:rFonts w:cstheme="minorHAnsi"/>
          <w:noProof/>
        </w:rPr>
        <w:t xml:space="preserve"> (2 pages A4 maximum) explaining your motivation for applying for this role. Provide evidence and outline how you consider your personal skills, qualities and experience are suitable </w:t>
      </w:r>
      <w:r w:rsidRPr="00DC67F0">
        <w:rPr>
          <w:rFonts w:cstheme="minorHAnsi"/>
          <w:noProof/>
        </w:rPr>
        <w:t>with particular reference to the criteria in the person</w:t>
      </w:r>
      <w:r w:rsidRPr="00DC67F0">
        <w:rPr>
          <w:rFonts w:cstheme="minorHAnsi"/>
        </w:rPr>
        <w:t xml:space="preserve"> specification.</w:t>
      </w:r>
    </w:p>
    <w:p w14:paraId="7E0C65D8" w14:textId="58984F69" w:rsidR="00BF183F" w:rsidRPr="00796504" w:rsidRDefault="00BF183F" w:rsidP="00BF183F">
      <w:pPr>
        <w:numPr>
          <w:ilvl w:val="0"/>
          <w:numId w:val="41"/>
        </w:numPr>
        <w:spacing w:after="120" w:line="0" w:lineRule="atLeast"/>
        <w:ind w:right="6"/>
        <w:jc w:val="both"/>
        <w:rPr>
          <w:rStyle w:val="Hyperlink"/>
          <w:rFonts w:cstheme="minorHAnsi"/>
          <w:color w:val="181818" w:themeColor="text2" w:themeShade="BF"/>
          <w:u w:val="none"/>
        </w:rPr>
      </w:pPr>
      <w:r w:rsidRPr="00DC67F0">
        <w:rPr>
          <w:rFonts w:cstheme="minorHAnsi"/>
          <w:b/>
          <w:bCs/>
        </w:rPr>
        <w:t xml:space="preserve">Diversity Information Form and Declaration of Interests: </w:t>
      </w:r>
      <w:r w:rsidRPr="00DC67F0">
        <w:rPr>
          <w:rFonts w:cstheme="minorHAnsi"/>
        </w:rPr>
        <w:t xml:space="preserve">This will assist the Cabinet Office in monitoring selection decisions to assess whether equality of opportunity is being achieved. Any Diversity monitoring </w:t>
      </w:r>
      <w:r w:rsidRPr="00DC67F0">
        <w:rPr>
          <w:rFonts w:cstheme="minorHAnsi"/>
        </w:rPr>
        <w:lastRenderedPageBreak/>
        <w:t>information collected will not be seen by anyone assessing your application. Please find the form available</w:t>
      </w:r>
      <w:r w:rsidRPr="00DC67F0">
        <w:t xml:space="preserve"> </w:t>
      </w:r>
      <w:hyperlink r:id="rId23" w:history="1">
        <w:r w:rsidRPr="00725841">
          <w:rPr>
            <w:rStyle w:val="Hyperlink"/>
          </w:rPr>
          <w:t>here</w:t>
        </w:r>
      </w:hyperlink>
      <w:r w:rsidRPr="00725841">
        <w:rPr>
          <w:rStyle w:val="Hyperlink"/>
          <w:u w:val="none"/>
        </w:rPr>
        <w:t>.</w:t>
      </w:r>
      <w:r w:rsidRPr="00567189">
        <w:rPr>
          <w:rStyle w:val="Hyperlink"/>
          <w:u w:val="none"/>
        </w:rPr>
        <w:t xml:space="preserve"> </w:t>
      </w:r>
      <w:r w:rsidRPr="00567189">
        <w:rPr>
          <w:rFonts w:cstheme="minorHAnsi"/>
        </w:rPr>
        <w:t>If you require this form in an alternative format</w:t>
      </w:r>
      <w:r>
        <w:rPr>
          <w:rFonts w:cstheme="minorHAnsi"/>
        </w:rPr>
        <w:t xml:space="preserve"> </w:t>
      </w:r>
      <w:proofErr w:type="gramStart"/>
      <w:r>
        <w:rPr>
          <w:rFonts w:cstheme="minorHAnsi"/>
        </w:rPr>
        <w:t>e.g.</w:t>
      </w:r>
      <w:proofErr w:type="gramEnd"/>
      <w:r>
        <w:rPr>
          <w:rFonts w:cstheme="minorHAnsi"/>
        </w:rPr>
        <w:t xml:space="preserve"> hard copy</w:t>
      </w:r>
      <w:r w:rsidRPr="00567189">
        <w:rPr>
          <w:rFonts w:cstheme="minorHAnsi"/>
        </w:rPr>
        <w:t xml:space="preserve"> please </w:t>
      </w:r>
      <w:r>
        <w:rPr>
          <w:rFonts w:cstheme="minorHAnsi"/>
        </w:rPr>
        <w:t xml:space="preserve">request this from Russell Reynolds. </w:t>
      </w:r>
      <w:r>
        <w:rPr>
          <w:rStyle w:val="Hyperlink"/>
        </w:rPr>
        <w:t xml:space="preserve"> </w:t>
      </w:r>
    </w:p>
    <w:p w14:paraId="2C8C51B8" w14:textId="77777777" w:rsidR="00BF183F" w:rsidRPr="00C83484" w:rsidRDefault="00BF183F" w:rsidP="00BF183F">
      <w:pPr>
        <w:spacing w:after="120" w:line="0" w:lineRule="atLeast"/>
        <w:ind w:left="-6"/>
        <w:jc w:val="both"/>
        <w:rPr>
          <w:rFonts w:cstheme="minorHAnsi"/>
        </w:rPr>
      </w:pPr>
      <w:r w:rsidRPr="00673B36">
        <w:rPr>
          <w:rFonts w:cstheme="minorHAnsi"/>
          <w:color w:val="181818" w:themeColor="text2" w:themeShade="BF"/>
        </w:rPr>
        <w:t>If you require</w:t>
      </w:r>
      <w:r>
        <w:rPr>
          <w:rFonts w:cstheme="minorHAnsi"/>
          <w:color w:val="181818" w:themeColor="text2" w:themeShade="BF"/>
        </w:rPr>
        <w:t xml:space="preserve"> </w:t>
      </w:r>
      <w:r w:rsidRPr="00673B36">
        <w:rPr>
          <w:rFonts w:cstheme="minorHAnsi"/>
          <w:color w:val="181818" w:themeColor="text2" w:themeShade="BF"/>
        </w:rPr>
        <w:t xml:space="preserve">an adjustment at any stage of the recruitment process, please email the team at  </w:t>
      </w:r>
      <w:hyperlink r:id="rId24" w:history="1">
        <w:r w:rsidRPr="00A26394">
          <w:rPr>
            <w:rStyle w:val="Hyperlink"/>
          </w:rPr>
          <w:t>responses@russellreynolds.com</w:t>
        </w:r>
      </w:hyperlink>
      <w:r>
        <w:rPr>
          <w:color w:val="181818" w:themeColor="text2" w:themeShade="BF"/>
        </w:rPr>
        <w:t>.</w:t>
      </w:r>
    </w:p>
    <w:p w14:paraId="7224BFFE" w14:textId="660BBE27" w:rsidR="008B7337" w:rsidRPr="006422A7" w:rsidRDefault="008B7337" w:rsidP="008B7337">
      <w:pPr>
        <w:keepNext/>
        <w:spacing w:before="240" w:line="216" w:lineRule="auto"/>
        <w:outlineLvl w:val="1"/>
        <w:rPr>
          <w:rFonts w:ascii="Arial" w:eastAsia="Arial" w:hAnsi="Arial"/>
          <w:b/>
          <w:bCs/>
          <w:iCs/>
          <w:color w:val="4A0080"/>
          <w:sz w:val="28"/>
          <w:szCs w:val="28"/>
        </w:rPr>
      </w:pPr>
    </w:p>
    <w:p w14:paraId="73A0772E" w14:textId="77777777" w:rsidR="00690C25" w:rsidRPr="00655664" w:rsidRDefault="00690C25" w:rsidP="00690C25">
      <w:pPr>
        <w:pStyle w:val="Heading2"/>
        <w:spacing w:after="120"/>
      </w:pPr>
      <w:bookmarkStart w:id="10" w:name="_Toc124759801"/>
      <w:r w:rsidRPr="00EA5E6D">
        <w:t>Further Information</w:t>
      </w:r>
      <w:bookmarkEnd w:id="10"/>
    </w:p>
    <w:p w14:paraId="6E091366" w14:textId="77777777" w:rsidR="00690C25" w:rsidRPr="0067728E" w:rsidRDefault="00690C25" w:rsidP="00690C25">
      <w:pPr>
        <w:pStyle w:val="BodyText"/>
        <w:spacing w:after="0"/>
        <w:jc w:val="both"/>
        <w:rPr>
          <w:b/>
          <w:bCs/>
        </w:rPr>
      </w:pPr>
      <w:r w:rsidRPr="0067728E">
        <w:rPr>
          <w:b/>
          <w:bCs/>
        </w:rPr>
        <w:t>Equality and Diversity</w:t>
      </w:r>
    </w:p>
    <w:p w14:paraId="6D3A1B46" w14:textId="77777777" w:rsidR="00690C25" w:rsidRPr="0067728E" w:rsidRDefault="00690C25" w:rsidP="00690C25">
      <w:pPr>
        <w:spacing w:line="276" w:lineRule="auto"/>
        <w:jc w:val="both"/>
      </w:pPr>
      <w:r w:rsidRPr="0067728E">
        <w:rPr>
          <w:rStyle w:val="ui-provider"/>
        </w:rPr>
        <w:t xml:space="preserve">The Bank </w:t>
      </w:r>
      <w:proofErr w:type="gramStart"/>
      <w:r w:rsidRPr="0067728E">
        <w:rPr>
          <w:rStyle w:val="ui-provider"/>
        </w:rPr>
        <w:t>recruits</w:t>
      </w:r>
      <w:proofErr w:type="gramEnd"/>
      <w:r w:rsidRPr="0067728E">
        <w:rPr>
          <w:rStyle w:val="ui-provider"/>
        </w:rPr>
        <w:t xml:space="preserve"> candidates from a diversity of backgrounds who can bring a wealth of knowledge, experience and ideas from the public and private sectors, and who share a passion for our mission and purpose. The Bank encourages applications from talented individuals from all backgrounds. The data collected in the Diversity </w:t>
      </w:r>
      <w:r>
        <w:rPr>
          <w:rStyle w:val="ui-provider"/>
        </w:rPr>
        <w:t>Information</w:t>
      </w:r>
      <w:r w:rsidRPr="0067728E">
        <w:rPr>
          <w:rStyle w:val="ui-provider"/>
        </w:rPr>
        <w:t xml:space="preserve"> Form is used to produce management information about the diversity of applicants and will not be seen by anyone assessing your application.</w:t>
      </w:r>
      <w:r w:rsidRPr="0067728E">
        <w:rPr>
          <w:lang w:eastAsia="en-US"/>
        </w:rPr>
        <w:t xml:space="preserve"> </w:t>
      </w:r>
    </w:p>
    <w:p w14:paraId="693549EF" w14:textId="77777777" w:rsidR="00690C25" w:rsidRDefault="00690C25" w:rsidP="00690C25">
      <w:pPr>
        <w:pStyle w:val="BodyText"/>
        <w:spacing w:after="0"/>
        <w:jc w:val="both"/>
        <w:rPr>
          <w:b/>
          <w:bCs/>
        </w:rPr>
      </w:pPr>
    </w:p>
    <w:p w14:paraId="3C623941" w14:textId="77777777" w:rsidR="00690C25" w:rsidRPr="000832CB" w:rsidRDefault="00690C25" w:rsidP="00690C25">
      <w:pPr>
        <w:pStyle w:val="BodyText"/>
        <w:spacing w:after="0"/>
        <w:jc w:val="both"/>
        <w:rPr>
          <w:b/>
          <w:bCs/>
        </w:rPr>
      </w:pPr>
      <w:r w:rsidRPr="000832CB">
        <w:rPr>
          <w:b/>
          <w:bCs/>
        </w:rPr>
        <w:t>Disability Confident</w:t>
      </w:r>
      <w:r>
        <w:rPr>
          <w:b/>
          <w:bCs/>
        </w:rPr>
        <w:t xml:space="preserve"> Scheme</w:t>
      </w:r>
    </w:p>
    <w:p w14:paraId="1F3B4DE1" w14:textId="5FD7B2C4" w:rsidR="00690C25" w:rsidRPr="000832CB" w:rsidRDefault="00690C25" w:rsidP="00690C25">
      <w:pPr>
        <w:pStyle w:val="BodyText"/>
        <w:spacing w:after="0" w:line="276" w:lineRule="auto"/>
        <w:jc w:val="both"/>
        <w:rPr>
          <w:rFonts w:eastAsia="Times New Roman" w:cstheme="minorHAnsi"/>
          <w:color w:val="000000" w:themeColor="text1"/>
          <w:szCs w:val="20"/>
          <w:shd w:val="clear" w:color="auto" w:fill="FFFFFF"/>
        </w:rPr>
      </w:pPr>
      <w:r w:rsidRPr="000832CB">
        <w:rPr>
          <w:rFonts w:eastAsia="Times New Roman" w:cstheme="minorHAnsi"/>
          <w:color w:val="000000" w:themeColor="text1"/>
          <w:szCs w:val="20"/>
          <w:shd w:val="clear" w:color="auto" w:fill="FFFFFF"/>
        </w:rPr>
        <w:t>The Department for Business</w:t>
      </w:r>
      <w:r>
        <w:rPr>
          <w:rFonts w:eastAsia="Times New Roman" w:cstheme="minorHAnsi"/>
          <w:color w:val="000000" w:themeColor="text1"/>
          <w:szCs w:val="20"/>
          <w:shd w:val="clear" w:color="auto" w:fill="FFFFFF"/>
        </w:rPr>
        <w:t xml:space="preserve"> and Trade</w:t>
      </w:r>
      <w:r w:rsidRPr="000832CB">
        <w:rPr>
          <w:rFonts w:eastAsia="Times New Roman" w:cstheme="minorHAnsi"/>
          <w:color w:val="000000" w:themeColor="text1"/>
          <w:szCs w:val="20"/>
          <w:shd w:val="clear" w:color="auto" w:fill="FFFFFF"/>
        </w:rPr>
        <w:t xml:space="preserve"> is an accredited user of the Disability Confident symbol, which signifies organisations which have a positive attitude towards disabled applicants. All Disability Confident Employers will offer interviews to disabled candidates who meet the minimum requirements for a job or role. If you wish to apply for consideration under this scheme, please complete the declaration in the Diversity </w:t>
      </w:r>
      <w:r>
        <w:rPr>
          <w:rFonts w:eastAsia="Times New Roman" w:cstheme="minorHAnsi"/>
          <w:color w:val="000000" w:themeColor="text1"/>
          <w:szCs w:val="20"/>
          <w:shd w:val="clear" w:color="auto" w:fill="FFFFFF"/>
        </w:rPr>
        <w:t>Information</w:t>
      </w:r>
      <w:r w:rsidRPr="000832CB">
        <w:rPr>
          <w:rFonts w:eastAsia="Times New Roman" w:cstheme="minorHAnsi"/>
          <w:color w:val="000000" w:themeColor="text1"/>
          <w:szCs w:val="20"/>
          <w:shd w:val="clear" w:color="auto" w:fill="FFFFFF"/>
        </w:rPr>
        <w:t xml:space="preserve"> Form provided. It is not necessary to state the nature of your disability. Whether you choose to apply under the Disability Confident scheme or not, you can still ask us to make particular adjustments for you</w:t>
      </w:r>
      <w:r>
        <w:rPr>
          <w:rFonts w:eastAsia="Times New Roman" w:cstheme="minorHAnsi"/>
          <w:color w:val="000000" w:themeColor="text1"/>
          <w:szCs w:val="20"/>
          <w:shd w:val="clear" w:color="auto" w:fill="FFFFFF"/>
        </w:rPr>
        <w:t>.</w:t>
      </w:r>
    </w:p>
    <w:p w14:paraId="41276D5B" w14:textId="77777777" w:rsidR="00690C25" w:rsidRDefault="00690C25" w:rsidP="00690C25">
      <w:pPr>
        <w:pStyle w:val="BodyText"/>
        <w:spacing w:after="0"/>
        <w:jc w:val="both"/>
        <w:rPr>
          <w:rFonts w:asciiTheme="majorHAnsi" w:hAnsiTheme="majorHAnsi" w:cstheme="majorHAnsi"/>
          <w:color w:val="181818" w:themeColor="text2" w:themeShade="BF"/>
          <w:szCs w:val="20"/>
        </w:rPr>
      </w:pPr>
    </w:p>
    <w:p w14:paraId="209B13E0" w14:textId="77777777" w:rsidR="00690C25" w:rsidRPr="00FF6668" w:rsidRDefault="00690C25" w:rsidP="00690C25">
      <w:pPr>
        <w:pStyle w:val="BodyText"/>
        <w:spacing w:after="0"/>
        <w:jc w:val="both"/>
        <w:rPr>
          <w:b/>
          <w:bCs/>
        </w:rPr>
      </w:pPr>
      <w:r>
        <w:rPr>
          <w:b/>
          <w:bCs/>
        </w:rPr>
        <w:t>Accessibility</w:t>
      </w:r>
    </w:p>
    <w:p w14:paraId="78564DB7" w14:textId="77777777" w:rsidR="00690C25" w:rsidRPr="00482CD0" w:rsidRDefault="00690C25" w:rsidP="00690C25">
      <w:pPr>
        <w:spacing w:line="0" w:lineRule="atLeast"/>
        <w:jc w:val="both"/>
        <w:rPr>
          <w:rFonts w:eastAsia="Times New Roman" w:cstheme="minorHAnsi"/>
          <w:color w:val="000000" w:themeColor="text1"/>
        </w:rPr>
      </w:pPr>
      <w:r w:rsidRPr="00482CD0">
        <w:rPr>
          <w:rFonts w:eastAsia="Times New Roman" w:cstheme="minorHAnsi"/>
          <w:color w:val="000000" w:themeColor="text1"/>
          <w:shd w:val="clear" w:color="auto" w:fill="FFFFFF"/>
        </w:rPr>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21F0616A" w14:textId="77777777" w:rsidR="00690C25" w:rsidRPr="00482CD0" w:rsidRDefault="00690C25" w:rsidP="00690C25">
      <w:p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Some examples of common changes are:</w:t>
      </w:r>
    </w:p>
    <w:p w14:paraId="1DD5E3C5" w14:textId="77777777" w:rsidR="00690C25" w:rsidRPr="00482CD0" w:rsidRDefault="00690C25" w:rsidP="00690C25">
      <w:pPr>
        <w:numPr>
          <w:ilvl w:val="0"/>
          <w:numId w:val="44"/>
        </w:num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 xml:space="preserve">ensuring that application forms are available in different or accessible </w:t>
      </w:r>
      <w:proofErr w:type="gramStart"/>
      <w:r w:rsidRPr="00482CD0">
        <w:rPr>
          <w:rFonts w:eastAsia="Times New Roman" w:cstheme="minorHAnsi"/>
          <w:color w:val="000000" w:themeColor="text1"/>
        </w:rPr>
        <w:t>formats;</w:t>
      </w:r>
      <w:proofErr w:type="gramEnd"/>
    </w:p>
    <w:p w14:paraId="318FC240" w14:textId="77777777" w:rsidR="00690C25" w:rsidRPr="00482CD0" w:rsidRDefault="00690C25" w:rsidP="00690C25">
      <w:pPr>
        <w:numPr>
          <w:ilvl w:val="0"/>
          <w:numId w:val="44"/>
        </w:num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 xml:space="preserve">making adaptations to interview </w:t>
      </w:r>
      <w:proofErr w:type="gramStart"/>
      <w:r w:rsidRPr="00482CD0">
        <w:rPr>
          <w:rFonts w:eastAsia="Times New Roman" w:cstheme="minorHAnsi"/>
          <w:color w:val="000000" w:themeColor="text1"/>
        </w:rPr>
        <w:t>locations;</w:t>
      </w:r>
      <w:proofErr w:type="gramEnd"/>
    </w:p>
    <w:p w14:paraId="731BE83D" w14:textId="77777777" w:rsidR="00690C25" w:rsidRPr="00482CD0" w:rsidRDefault="00690C25" w:rsidP="00690C25">
      <w:pPr>
        <w:numPr>
          <w:ilvl w:val="0"/>
          <w:numId w:val="44"/>
        </w:num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 xml:space="preserve">allowing candidates to present their skills and experience in a different </w:t>
      </w:r>
      <w:proofErr w:type="gramStart"/>
      <w:r w:rsidRPr="00482CD0">
        <w:rPr>
          <w:rFonts w:eastAsia="Times New Roman" w:cstheme="minorHAnsi"/>
          <w:color w:val="000000" w:themeColor="text1"/>
        </w:rPr>
        <w:t>way;</w:t>
      </w:r>
      <w:proofErr w:type="gramEnd"/>
    </w:p>
    <w:p w14:paraId="10A967F2" w14:textId="77777777" w:rsidR="00690C25" w:rsidRPr="00482CD0" w:rsidRDefault="00690C25" w:rsidP="00690C25">
      <w:pPr>
        <w:numPr>
          <w:ilvl w:val="0"/>
          <w:numId w:val="44"/>
        </w:num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 xml:space="preserve">giving detailed information on the selection / interview process in advance to allow candidates time to prepare </w:t>
      </w:r>
      <w:proofErr w:type="gramStart"/>
      <w:r w:rsidRPr="00482CD0">
        <w:rPr>
          <w:rFonts w:eastAsia="Times New Roman" w:cstheme="minorHAnsi"/>
          <w:color w:val="000000" w:themeColor="text1"/>
        </w:rPr>
        <w:t>themselves;</w:t>
      </w:r>
      <w:proofErr w:type="gramEnd"/>
    </w:p>
    <w:p w14:paraId="4E056516" w14:textId="77777777" w:rsidR="00690C25" w:rsidRPr="00482CD0" w:rsidRDefault="00690C25" w:rsidP="00690C25">
      <w:pPr>
        <w:numPr>
          <w:ilvl w:val="0"/>
          <w:numId w:val="44"/>
        </w:num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 xml:space="preserve">allowing support workers, for example sign language </w:t>
      </w:r>
      <w:proofErr w:type="gramStart"/>
      <w:r w:rsidRPr="00482CD0">
        <w:rPr>
          <w:rFonts w:eastAsia="Times New Roman" w:cstheme="minorHAnsi"/>
          <w:color w:val="000000" w:themeColor="text1"/>
        </w:rPr>
        <w:t>interpreters;</w:t>
      </w:r>
      <w:proofErr w:type="gramEnd"/>
    </w:p>
    <w:p w14:paraId="4003E358" w14:textId="77777777" w:rsidR="00690C25" w:rsidRDefault="00690C25" w:rsidP="00690C25">
      <w:pPr>
        <w:numPr>
          <w:ilvl w:val="0"/>
          <w:numId w:val="44"/>
        </w:numPr>
        <w:shd w:val="clear" w:color="auto" w:fill="FFFFFF"/>
        <w:spacing w:line="0" w:lineRule="atLeast"/>
        <w:jc w:val="both"/>
        <w:rPr>
          <w:rFonts w:eastAsia="Times New Roman" w:cstheme="minorHAnsi"/>
          <w:color w:val="000000" w:themeColor="text1"/>
        </w:rPr>
      </w:pPr>
      <w:r w:rsidRPr="00482CD0">
        <w:rPr>
          <w:rFonts w:eastAsia="Times New Roman" w:cstheme="minorHAnsi"/>
          <w:color w:val="000000" w:themeColor="text1"/>
        </w:rPr>
        <w:t>making provision for support animals to attend.</w:t>
      </w:r>
    </w:p>
    <w:p w14:paraId="70358573" w14:textId="77777777" w:rsidR="00690C25" w:rsidRPr="00482CD0" w:rsidRDefault="00690C25" w:rsidP="00690C25">
      <w:pPr>
        <w:shd w:val="clear" w:color="auto" w:fill="FFFFFF"/>
        <w:spacing w:line="0" w:lineRule="atLeast"/>
        <w:ind w:left="360"/>
        <w:jc w:val="both"/>
        <w:rPr>
          <w:rFonts w:eastAsia="Times New Roman" w:cstheme="minorHAnsi"/>
          <w:color w:val="000000" w:themeColor="text1"/>
        </w:rPr>
      </w:pPr>
    </w:p>
    <w:p w14:paraId="504D8EDA" w14:textId="77777777" w:rsidR="00690C25" w:rsidRPr="00482CD0" w:rsidRDefault="00690C25" w:rsidP="00690C25">
      <w:pPr>
        <w:spacing w:line="0" w:lineRule="atLeast"/>
        <w:jc w:val="both"/>
        <w:rPr>
          <w:rFonts w:cstheme="minorHAnsi"/>
          <w:b/>
          <w:bCs/>
          <w:color w:val="000000" w:themeColor="text1"/>
        </w:rPr>
      </w:pPr>
      <w:r w:rsidRPr="00482CD0">
        <w:rPr>
          <w:rFonts w:eastAsia="Times New Roman" w:cstheme="minorHAnsi"/>
          <w:color w:val="000000" w:themeColor="text1"/>
        </w:rPr>
        <w:t>When you apply you will have the opportunity to request reasonable adjustments to the application process.</w:t>
      </w:r>
    </w:p>
    <w:p w14:paraId="4A6E279F" w14:textId="77777777" w:rsidR="00690C25" w:rsidRPr="00FF6668" w:rsidRDefault="00690C25" w:rsidP="00690C25">
      <w:pPr>
        <w:pStyle w:val="BodyText"/>
        <w:spacing w:after="0" w:line="0" w:lineRule="atLeast"/>
        <w:jc w:val="both"/>
        <w:rPr>
          <w:b/>
          <w:bCs/>
        </w:rPr>
      </w:pPr>
    </w:p>
    <w:p w14:paraId="7EF2E436" w14:textId="77777777" w:rsidR="00690C25" w:rsidRPr="00FF6668" w:rsidRDefault="00690C25" w:rsidP="00690C25">
      <w:pPr>
        <w:pStyle w:val="BodyText"/>
        <w:spacing w:after="0" w:line="0" w:lineRule="atLeast"/>
        <w:jc w:val="both"/>
        <w:rPr>
          <w:b/>
          <w:bCs/>
        </w:rPr>
      </w:pPr>
      <w:r w:rsidRPr="00FF6668">
        <w:rPr>
          <w:b/>
          <w:bCs/>
        </w:rPr>
        <w:t>Conflicts of Interest and Due Diligence</w:t>
      </w:r>
    </w:p>
    <w:p w14:paraId="4729E992" w14:textId="77777777" w:rsidR="00690C25" w:rsidRPr="00482CD0" w:rsidRDefault="00690C25" w:rsidP="007F21BC">
      <w:pPr>
        <w:spacing w:line="276" w:lineRule="auto"/>
        <w:jc w:val="both"/>
        <w:rPr>
          <w:rFonts w:cstheme="minorHAnsi"/>
          <w:color w:val="181818" w:themeColor="text2" w:themeShade="BF"/>
        </w:rPr>
      </w:pPr>
      <w:r w:rsidRPr="00482CD0">
        <w:rPr>
          <w:rFonts w:cstheme="minorHAnsi"/>
          <w:color w:val="181818" w:themeColor="text2" w:themeShade="BF"/>
        </w:rPr>
        <w:t xml:space="preserve">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panel and provide details of the issue(s) in your application. In considering whether you wish to declare any issues, you should also reflect on any public statements you have made, including through social media. The panel may explore issues with you before they make a recommendation on the appointment. </w:t>
      </w:r>
    </w:p>
    <w:p w14:paraId="2DF26CEB" w14:textId="77777777" w:rsidR="00690C25" w:rsidRPr="00482CD0" w:rsidRDefault="00690C25" w:rsidP="007F21BC">
      <w:pPr>
        <w:spacing w:line="276" w:lineRule="auto"/>
        <w:jc w:val="both"/>
        <w:rPr>
          <w:rFonts w:cstheme="minorHAnsi"/>
          <w:color w:val="181818" w:themeColor="text2" w:themeShade="BF"/>
        </w:rPr>
      </w:pPr>
    </w:p>
    <w:p w14:paraId="484935E8" w14:textId="77777777" w:rsidR="00690C25" w:rsidRDefault="00690C25" w:rsidP="007F21BC">
      <w:pPr>
        <w:spacing w:line="276" w:lineRule="auto"/>
        <w:jc w:val="both"/>
        <w:rPr>
          <w:rFonts w:cstheme="minorHAnsi"/>
          <w:color w:val="181818" w:themeColor="text2" w:themeShade="BF"/>
        </w:rPr>
      </w:pPr>
      <w:r w:rsidRPr="007F754D">
        <w:rPr>
          <w:rFonts w:cstheme="minorHAnsi"/>
          <w:bCs/>
          <w:color w:val="181818" w:themeColor="text2" w:themeShade="BF"/>
        </w:rPr>
        <w:t>Please note that due diligence searches will be undertaken on shortlisted candidates and references may be taken up prior to interview or prior to any advice being put to Ministers.</w:t>
      </w:r>
      <w:r w:rsidRPr="00482CD0">
        <w:rPr>
          <w:rFonts w:cstheme="minorHAnsi"/>
          <w:color w:val="181818" w:themeColor="text2" w:themeShade="BF"/>
        </w:rPr>
        <w:t xml:space="preserve"> 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w:t>
      </w:r>
      <w:proofErr w:type="gramStart"/>
      <w:r w:rsidRPr="00482CD0">
        <w:rPr>
          <w:rFonts w:cstheme="minorHAnsi"/>
          <w:color w:val="181818" w:themeColor="text2" w:themeShade="BF"/>
        </w:rPr>
        <w:t>panel</w:t>
      </w:r>
      <w:proofErr w:type="gramEnd"/>
      <w:r w:rsidRPr="00482CD0">
        <w:rPr>
          <w:rFonts w:cstheme="minorHAnsi"/>
          <w:color w:val="181818" w:themeColor="text2" w:themeShade="BF"/>
        </w:rPr>
        <w:t xml:space="preserve"> and they may wish to explore issues with you, should you be invited to interview.</w:t>
      </w:r>
    </w:p>
    <w:p w14:paraId="3BA5EA83" w14:textId="77777777" w:rsidR="00690C25" w:rsidRDefault="00690C25" w:rsidP="007F21BC">
      <w:pPr>
        <w:spacing w:line="276" w:lineRule="auto"/>
        <w:jc w:val="both"/>
        <w:rPr>
          <w:rFonts w:cstheme="minorHAnsi"/>
          <w:color w:val="181818" w:themeColor="text2" w:themeShade="BF"/>
        </w:rPr>
      </w:pPr>
    </w:p>
    <w:p w14:paraId="67226646" w14:textId="77777777" w:rsidR="00690C25" w:rsidRPr="003A7895" w:rsidRDefault="00690C25" w:rsidP="007F21BC">
      <w:pPr>
        <w:spacing w:line="276" w:lineRule="auto"/>
        <w:jc w:val="both"/>
        <w:rPr>
          <w:rFonts w:cstheme="minorHAnsi"/>
          <w:color w:val="181818" w:themeColor="text2" w:themeShade="BF"/>
        </w:rPr>
      </w:pPr>
      <w:r w:rsidRPr="003A7895">
        <w:rPr>
          <w:rFonts w:cstheme="minorHAnsi"/>
          <w:color w:val="181818" w:themeColor="text2" w:themeShade="BF"/>
        </w:rPr>
        <w:t xml:space="preserve">For further information on the standards expected in a public role, </w:t>
      </w:r>
      <w:r>
        <w:rPr>
          <w:rFonts w:cstheme="minorHAnsi"/>
          <w:color w:val="181818" w:themeColor="text2" w:themeShade="BF"/>
        </w:rPr>
        <w:t>please review t</w:t>
      </w:r>
      <w:r w:rsidRPr="003A7895">
        <w:rPr>
          <w:rFonts w:cstheme="minorHAnsi"/>
          <w:color w:val="181818" w:themeColor="text2" w:themeShade="BF"/>
        </w:rPr>
        <w:t>he Seven Principles of Public Life</w:t>
      </w:r>
      <w:r>
        <w:rPr>
          <w:rFonts w:cstheme="minorHAnsi"/>
          <w:color w:val="181818" w:themeColor="text2" w:themeShade="BF"/>
        </w:rPr>
        <w:t xml:space="preserve"> available in Appendix III. </w:t>
      </w:r>
    </w:p>
    <w:p w14:paraId="2DBA7E99" w14:textId="77777777" w:rsidR="00690C25" w:rsidRPr="00FF2929" w:rsidRDefault="00690C25" w:rsidP="00690C25">
      <w:pPr>
        <w:spacing w:line="0" w:lineRule="atLeast"/>
        <w:jc w:val="both"/>
        <w:rPr>
          <w:rFonts w:cstheme="minorHAnsi"/>
          <w:b/>
          <w:bCs/>
          <w:color w:val="181818" w:themeColor="text2" w:themeShade="BF"/>
          <w:sz w:val="24"/>
          <w:szCs w:val="24"/>
        </w:rPr>
      </w:pPr>
    </w:p>
    <w:p w14:paraId="66976E06" w14:textId="77777777" w:rsidR="00690C25" w:rsidRPr="00FF6668" w:rsidRDefault="00690C25" w:rsidP="00690C25">
      <w:pPr>
        <w:pStyle w:val="BodyText"/>
        <w:spacing w:after="0" w:line="0" w:lineRule="atLeast"/>
        <w:jc w:val="both"/>
        <w:rPr>
          <w:b/>
          <w:bCs/>
        </w:rPr>
      </w:pPr>
      <w:r w:rsidRPr="00FF6668">
        <w:rPr>
          <w:b/>
          <w:bCs/>
        </w:rPr>
        <w:t>Personal Data</w:t>
      </w:r>
    </w:p>
    <w:p w14:paraId="5A64D018" w14:textId="77777777" w:rsidR="00690C25" w:rsidRDefault="00690C25" w:rsidP="00690C25">
      <w:pPr>
        <w:jc w:val="both"/>
      </w:pPr>
      <w:r w:rsidRPr="00482CD0">
        <w:rPr>
          <w:rFonts w:cstheme="minorHAnsi"/>
          <w:color w:val="181818" w:themeColor="text2" w:themeShade="BF"/>
        </w:rPr>
        <w:t xml:space="preserve">This </w:t>
      </w:r>
      <w:r>
        <w:rPr>
          <w:rFonts w:cstheme="minorHAnsi"/>
          <w:color w:val="181818" w:themeColor="text2" w:themeShade="BF"/>
        </w:rPr>
        <w:t>process</w:t>
      </w:r>
      <w:r w:rsidRPr="00482CD0">
        <w:rPr>
          <w:rFonts w:cstheme="minorHAnsi"/>
          <w:color w:val="181818" w:themeColor="text2" w:themeShade="BF"/>
        </w:rPr>
        <w:t xml:space="preserve"> is being run in conjunction with UK Government Investments (UKGI). Candidates are asked to read the UKGI data privacy notice prior to applying to understand how your data will be treated by UKGI</w:t>
      </w:r>
      <w:r>
        <w:rPr>
          <w:rFonts w:cstheme="minorHAnsi"/>
          <w:color w:val="181818" w:themeColor="text2" w:themeShade="BF"/>
        </w:rPr>
        <w:t xml:space="preserve">, available </w:t>
      </w:r>
      <w:hyperlink r:id="rId25" w:history="1">
        <w:r>
          <w:rPr>
            <w:rStyle w:val="Hyperlink"/>
            <w:lang w:eastAsia="en-US"/>
          </w:rPr>
          <w:t>here</w:t>
        </w:r>
      </w:hyperlink>
      <w:r>
        <w:rPr>
          <w:lang w:eastAsia="en-US"/>
        </w:rPr>
        <w:t>.</w:t>
      </w:r>
    </w:p>
    <w:p w14:paraId="6890027B" w14:textId="77777777" w:rsidR="00690C25" w:rsidRPr="00482CD0" w:rsidRDefault="00690C25" w:rsidP="00690C25">
      <w:pPr>
        <w:spacing w:line="0" w:lineRule="atLeast"/>
        <w:jc w:val="both"/>
        <w:rPr>
          <w:rFonts w:cstheme="minorHAnsi"/>
          <w:color w:val="181818" w:themeColor="text2" w:themeShade="BF"/>
        </w:rPr>
      </w:pPr>
    </w:p>
    <w:p w14:paraId="77BC19BF" w14:textId="77777777" w:rsidR="00690C25" w:rsidRPr="00C27D19" w:rsidRDefault="00690C25" w:rsidP="00690C25">
      <w:pPr>
        <w:spacing w:line="0" w:lineRule="atLeast"/>
        <w:rPr>
          <w:rFonts w:cstheme="minorHAnsi"/>
          <w:b/>
          <w:bCs/>
        </w:rPr>
      </w:pPr>
      <w:r w:rsidRPr="00C27D19">
        <w:rPr>
          <w:rFonts w:cstheme="minorHAnsi"/>
          <w:b/>
          <w:bCs/>
        </w:rPr>
        <w:t>Background Checks</w:t>
      </w:r>
    </w:p>
    <w:p w14:paraId="0634B844" w14:textId="77777777" w:rsidR="00690C25" w:rsidRDefault="00690C25" w:rsidP="00690C25">
      <w:pPr>
        <w:jc w:val="both"/>
      </w:pPr>
      <w:r>
        <w:rPr>
          <w:lang w:eastAsia="en-US"/>
        </w:rPr>
        <w:t>All offers of appointment will be subject to BBB’s background checks, including a basic Disclosure and Barring Service, pre-placement health screening, financial records and online presence checks.</w:t>
      </w:r>
    </w:p>
    <w:p w14:paraId="2F8DB031" w14:textId="77777777" w:rsidR="00690C25" w:rsidRDefault="00690C25" w:rsidP="00690C25">
      <w:pPr>
        <w:spacing w:line="0" w:lineRule="atLeast"/>
        <w:rPr>
          <w:rFonts w:cstheme="minorHAnsi"/>
        </w:rPr>
      </w:pPr>
    </w:p>
    <w:p w14:paraId="69AD1713" w14:textId="77777777" w:rsidR="00690C25" w:rsidRPr="00FF6668" w:rsidRDefault="00690C25" w:rsidP="00690C25">
      <w:pPr>
        <w:pStyle w:val="BodyText"/>
        <w:spacing w:after="0" w:line="0" w:lineRule="atLeast"/>
        <w:jc w:val="both"/>
        <w:rPr>
          <w:b/>
          <w:bCs/>
        </w:rPr>
      </w:pPr>
      <w:r w:rsidRPr="00FF6668">
        <w:rPr>
          <w:b/>
          <w:bCs/>
        </w:rPr>
        <w:t>Complaints Procedure</w:t>
      </w:r>
    </w:p>
    <w:p w14:paraId="305B147C" w14:textId="77777777" w:rsidR="00690C25" w:rsidRPr="00482CD0" w:rsidRDefault="00690C25" w:rsidP="00690C25">
      <w:pPr>
        <w:spacing w:line="0" w:lineRule="atLeast"/>
        <w:jc w:val="both"/>
        <w:rPr>
          <w:rFonts w:cstheme="minorHAnsi"/>
        </w:rPr>
      </w:pPr>
      <w:r w:rsidRPr="00482CD0">
        <w:rPr>
          <w:rFonts w:cstheme="minorHAnsi"/>
        </w:rPr>
        <w:t xml:space="preserve">If you feel you have reason to complain you should direct your concerns in the first instance to </w:t>
      </w:r>
      <w:r>
        <w:rPr>
          <w:rFonts w:cstheme="minorHAnsi"/>
        </w:rPr>
        <w:t xml:space="preserve">Russell Reynolds Associates at </w:t>
      </w:r>
      <w:r w:rsidRPr="00482CD0">
        <w:rPr>
          <w:rFonts w:cstheme="minorHAnsi"/>
        </w:rPr>
        <w:t xml:space="preserve">who will make every effort to deal with these and respond to you as soon as possible. </w:t>
      </w:r>
    </w:p>
    <w:p w14:paraId="7B8A81ED" w14:textId="60D5C45C" w:rsidR="008B7337" w:rsidRDefault="008B7337" w:rsidP="008B7337">
      <w:pPr>
        <w:spacing w:after="200" w:line="276" w:lineRule="auto"/>
        <w:rPr>
          <w:rFonts w:ascii="Arial" w:hAnsi="Arial"/>
          <w:b/>
          <w:bCs/>
          <w:color w:val="000000"/>
        </w:rPr>
      </w:pPr>
      <w:r>
        <w:rPr>
          <w:rFonts w:ascii="Arial" w:hAnsi="Arial"/>
          <w:b/>
          <w:bCs/>
          <w:color w:val="000000"/>
        </w:rPr>
        <w:br w:type="page"/>
      </w:r>
    </w:p>
    <w:p w14:paraId="0BA75AA3" w14:textId="77777777" w:rsidR="008B7337" w:rsidRPr="003F0028" w:rsidRDefault="008B7337" w:rsidP="003F0028">
      <w:pPr>
        <w:pStyle w:val="Heading2"/>
        <w:spacing w:after="120"/>
      </w:pPr>
      <w:bookmarkStart w:id="11" w:name="BoardBios"/>
      <w:bookmarkEnd w:id="11"/>
      <w:r w:rsidRPr="003F0028">
        <w:lastRenderedPageBreak/>
        <w:t xml:space="preserve">Appendix I – Board Biographies </w:t>
      </w:r>
    </w:p>
    <w:p w14:paraId="5213BACD" w14:textId="0D518774" w:rsidR="008B7337" w:rsidRDefault="008D7D65" w:rsidP="00356E10">
      <w:pPr>
        <w:spacing w:after="120"/>
        <w:contextualSpacing/>
        <w:rPr>
          <w:rFonts w:ascii="Arial" w:hAnsi="Arial"/>
          <w:b/>
          <w:bCs/>
          <w:szCs w:val="8"/>
        </w:rPr>
      </w:pPr>
      <w:r>
        <w:rPr>
          <w:rFonts w:ascii="Arial" w:hAnsi="Arial"/>
          <w:b/>
          <w:bCs/>
          <w:szCs w:val="8"/>
        </w:rPr>
        <w:t>Stephen Welton</w:t>
      </w:r>
      <w:r w:rsidR="008B7337">
        <w:rPr>
          <w:rFonts w:ascii="Arial" w:hAnsi="Arial"/>
          <w:b/>
          <w:bCs/>
          <w:szCs w:val="8"/>
        </w:rPr>
        <w:t xml:space="preserve"> – Chair </w:t>
      </w:r>
    </w:p>
    <w:p w14:paraId="31E70936" w14:textId="0BC616BB" w:rsidR="008D7D65" w:rsidRPr="008D7D65" w:rsidRDefault="008D7D65" w:rsidP="008D7D65">
      <w:pPr>
        <w:overflowPunct w:val="0"/>
        <w:autoSpaceDE w:val="0"/>
        <w:autoSpaceDN w:val="0"/>
        <w:adjustRightInd w:val="0"/>
        <w:spacing w:line="240" w:lineRule="auto"/>
        <w:jc w:val="both"/>
        <w:textAlignment w:val="baseline"/>
        <w:rPr>
          <w:rFonts w:ascii="Arial" w:hAnsi="Arial"/>
          <w:szCs w:val="8"/>
        </w:rPr>
      </w:pPr>
      <w:r w:rsidRPr="008D7D65">
        <w:rPr>
          <w:rFonts w:ascii="Arial" w:hAnsi="Arial"/>
          <w:szCs w:val="8"/>
        </w:rPr>
        <w:t>Stephen Welton was appointed Non-executive Chair of the British Business Bank in October 2023.</w:t>
      </w:r>
    </w:p>
    <w:p w14:paraId="7167F3EB" w14:textId="77777777" w:rsidR="008D7D65" w:rsidRDefault="008D7D65" w:rsidP="008D7D65">
      <w:pPr>
        <w:overflowPunct w:val="0"/>
        <w:autoSpaceDE w:val="0"/>
        <w:autoSpaceDN w:val="0"/>
        <w:adjustRightInd w:val="0"/>
        <w:spacing w:line="240" w:lineRule="auto"/>
        <w:jc w:val="both"/>
        <w:textAlignment w:val="baseline"/>
        <w:rPr>
          <w:rFonts w:ascii="Arial" w:hAnsi="Arial"/>
          <w:szCs w:val="8"/>
        </w:rPr>
      </w:pPr>
    </w:p>
    <w:p w14:paraId="07592261" w14:textId="6A0C355C" w:rsidR="008D7D65" w:rsidRPr="008D7D65" w:rsidRDefault="008D7D65" w:rsidP="008D7D65">
      <w:pPr>
        <w:overflowPunct w:val="0"/>
        <w:autoSpaceDE w:val="0"/>
        <w:autoSpaceDN w:val="0"/>
        <w:adjustRightInd w:val="0"/>
        <w:spacing w:line="240" w:lineRule="auto"/>
        <w:jc w:val="both"/>
        <w:textAlignment w:val="baseline"/>
        <w:rPr>
          <w:rFonts w:ascii="Arial" w:hAnsi="Arial"/>
          <w:szCs w:val="8"/>
        </w:rPr>
      </w:pPr>
      <w:r w:rsidRPr="008D7D65">
        <w:rPr>
          <w:rFonts w:ascii="Arial" w:hAnsi="Arial"/>
          <w:szCs w:val="8"/>
        </w:rPr>
        <w:t>Stephen has extensive experience as an investor in private capital markets around the world. He was the founder CEO of the Business Growth Fund (BGF) from 2011 to 2020, then Executive Chair between 2020 and 2022, and later Non-executive Chair until July 2023. BGF is the UK’s most active investor in scaling businesses and the model has been successfully replicated in a number of other countries internationally. He also serves as Chair of the BGF Foundation.</w:t>
      </w:r>
    </w:p>
    <w:p w14:paraId="3865AFB4" w14:textId="77777777" w:rsidR="008D7D65" w:rsidRDefault="008D7D65" w:rsidP="008D7D65">
      <w:pPr>
        <w:overflowPunct w:val="0"/>
        <w:autoSpaceDE w:val="0"/>
        <w:autoSpaceDN w:val="0"/>
        <w:adjustRightInd w:val="0"/>
        <w:spacing w:line="240" w:lineRule="auto"/>
        <w:jc w:val="both"/>
        <w:textAlignment w:val="baseline"/>
        <w:rPr>
          <w:rFonts w:ascii="Arial" w:hAnsi="Arial"/>
          <w:szCs w:val="8"/>
        </w:rPr>
      </w:pPr>
    </w:p>
    <w:p w14:paraId="01889AD7" w14:textId="3C0574FC" w:rsidR="008D7D65" w:rsidRPr="008D7D65" w:rsidRDefault="008D7D65" w:rsidP="008D7D65">
      <w:pPr>
        <w:overflowPunct w:val="0"/>
        <w:autoSpaceDE w:val="0"/>
        <w:autoSpaceDN w:val="0"/>
        <w:adjustRightInd w:val="0"/>
        <w:spacing w:line="240" w:lineRule="auto"/>
        <w:jc w:val="both"/>
        <w:textAlignment w:val="baseline"/>
        <w:rPr>
          <w:rFonts w:ascii="Arial" w:hAnsi="Arial"/>
          <w:szCs w:val="8"/>
        </w:rPr>
      </w:pPr>
      <w:r w:rsidRPr="008D7D65">
        <w:rPr>
          <w:rFonts w:ascii="Arial" w:hAnsi="Arial"/>
          <w:szCs w:val="8"/>
        </w:rPr>
        <w:t>In 2013, Stephen was appointed as an advisor to the UK Government regarding the establishment of the British Business Bank and, in 2017, served as a member of the Industry Panel advising HM Treasury on the Patient Capital Review. He was also a member of the Prime Minister’s 2021 Business Council and member of the Innovate Council 2018-2021.</w:t>
      </w:r>
    </w:p>
    <w:p w14:paraId="4C72DC68" w14:textId="77777777" w:rsidR="008D7D65" w:rsidRDefault="008D7D65" w:rsidP="008D7D65">
      <w:pPr>
        <w:overflowPunct w:val="0"/>
        <w:autoSpaceDE w:val="0"/>
        <w:autoSpaceDN w:val="0"/>
        <w:adjustRightInd w:val="0"/>
        <w:spacing w:line="240" w:lineRule="auto"/>
        <w:jc w:val="both"/>
        <w:textAlignment w:val="baseline"/>
        <w:rPr>
          <w:rFonts w:ascii="Arial" w:hAnsi="Arial"/>
          <w:szCs w:val="8"/>
        </w:rPr>
      </w:pPr>
    </w:p>
    <w:p w14:paraId="70A8D509" w14:textId="30126329" w:rsidR="008D7D65" w:rsidRPr="008D7D65" w:rsidRDefault="008D7D65" w:rsidP="008D7D65">
      <w:pPr>
        <w:overflowPunct w:val="0"/>
        <w:autoSpaceDE w:val="0"/>
        <w:autoSpaceDN w:val="0"/>
        <w:adjustRightInd w:val="0"/>
        <w:spacing w:line="240" w:lineRule="auto"/>
        <w:jc w:val="both"/>
        <w:textAlignment w:val="baseline"/>
        <w:rPr>
          <w:rFonts w:ascii="Arial" w:hAnsi="Arial"/>
          <w:szCs w:val="8"/>
        </w:rPr>
      </w:pPr>
      <w:r w:rsidRPr="008D7D65">
        <w:rPr>
          <w:rFonts w:ascii="Arial" w:hAnsi="Arial"/>
          <w:szCs w:val="8"/>
        </w:rPr>
        <w:t>Prior to BGF, he was one of the founding partners of global private equity firm CCMP Capital (formerly JP Morgan Partners) and, before that, managing director of Barclays Private Equity and Henderson Ventures, which he also co-founded. Stephen has significant board experience and is currently a Non-executive Director of FTSE 250 ICG plc.</w:t>
      </w:r>
    </w:p>
    <w:p w14:paraId="25CF7A71" w14:textId="77777777" w:rsidR="008D7D65" w:rsidRDefault="008D7D65" w:rsidP="008D7D65">
      <w:pPr>
        <w:overflowPunct w:val="0"/>
        <w:autoSpaceDE w:val="0"/>
        <w:autoSpaceDN w:val="0"/>
        <w:adjustRightInd w:val="0"/>
        <w:spacing w:line="240" w:lineRule="auto"/>
        <w:jc w:val="both"/>
        <w:textAlignment w:val="baseline"/>
        <w:rPr>
          <w:rFonts w:ascii="Arial" w:hAnsi="Arial"/>
          <w:szCs w:val="8"/>
        </w:rPr>
      </w:pPr>
    </w:p>
    <w:p w14:paraId="34ECEB8D" w14:textId="29499791" w:rsidR="008B7337" w:rsidRPr="008D7D65" w:rsidRDefault="008D7D65" w:rsidP="008D7D65">
      <w:pPr>
        <w:overflowPunct w:val="0"/>
        <w:autoSpaceDE w:val="0"/>
        <w:autoSpaceDN w:val="0"/>
        <w:adjustRightInd w:val="0"/>
        <w:spacing w:line="240" w:lineRule="auto"/>
        <w:jc w:val="both"/>
        <w:textAlignment w:val="baseline"/>
        <w:rPr>
          <w:rFonts w:ascii="Arial" w:hAnsi="Arial"/>
          <w:szCs w:val="8"/>
        </w:rPr>
      </w:pPr>
      <w:r w:rsidRPr="008D7D65">
        <w:rPr>
          <w:rFonts w:ascii="Arial" w:hAnsi="Arial"/>
          <w:szCs w:val="8"/>
        </w:rPr>
        <w:t>Stephen started his career in banking, has a law degree from Durham University, and is a qualified Barrister-at-Law. He was awarded a CBE in June 2023 for services to Small Businesses and Entrepreneurship.</w:t>
      </w:r>
    </w:p>
    <w:p w14:paraId="001549F5" w14:textId="77777777" w:rsidR="008B7337" w:rsidRPr="006422A7" w:rsidRDefault="008B7337" w:rsidP="007265D2">
      <w:pPr>
        <w:overflowPunct w:val="0"/>
        <w:autoSpaceDE w:val="0"/>
        <w:autoSpaceDN w:val="0"/>
        <w:adjustRightInd w:val="0"/>
        <w:spacing w:line="240" w:lineRule="auto"/>
        <w:textAlignment w:val="baseline"/>
        <w:rPr>
          <w:rFonts w:ascii="Arial" w:hAnsi="Arial"/>
        </w:rPr>
      </w:pPr>
    </w:p>
    <w:p w14:paraId="1204BBB1" w14:textId="030808D9" w:rsidR="00D4788F" w:rsidRPr="00356E10" w:rsidRDefault="00D4788F" w:rsidP="00356E10">
      <w:pPr>
        <w:overflowPunct w:val="0"/>
        <w:autoSpaceDE w:val="0"/>
        <w:autoSpaceDN w:val="0"/>
        <w:adjustRightInd w:val="0"/>
        <w:spacing w:after="120" w:line="240" w:lineRule="auto"/>
        <w:textAlignment w:val="baseline"/>
        <w:rPr>
          <w:rFonts w:ascii="Arial" w:hAnsi="Arial"/>
          <w:b/>
          <w:bCs/>
        </w:rPr>
      </w:pPr>
      <w:r>
        <w:rPr>
          <w:rFonts w:ascii="Arial" w:hAnsi="Arial"/>
          <w:b/>
          <w:bCs/>
        </w:rPr>
        <w:t>Louis Taylor –</w:t>
      </w:r>
      <w:r w:rsidR="008B7337" w:rsidRPr="006422A7">
        <w:rPr>
          <w:rFonts w:ascii="Arial" w:hAnsi="Arial"/>
          <w:b/>
          <w:bCs/>
        </w:rPr>
        <w:t xml:space="preserve"> Chief Executive Officer</w:t>
      </w:r>
    </w:p>
    <w:p w14:paraId="3E5B5D49" w14:textId="0575C49F" w:rsidR="00D4788F" w:rsidRPr="00D4788F" w:rsidRDefault="00D4788F" w:rsidP="00D4788F">
      <w:pPr>
        <w:overflowPunct w:val="0"/>
        <w:autoSpaceDE w:val="0"/>
        <w:autoSpaceDN w:val="0"/>
        <w:adjustRightInd w:val="0"/>
        <w:spacing w:line="240" w:lineRule="auto"/>
        <w:jc w:val="both"/>
        <w:textAlignment w:val="baseline"/>
        <w:rPr>
          <w:rFonts w:ascii="Arial" w:hAnsi="Arial"/>
        </w:rPr>
      </w:pPr>
      <w:r w:rsidRPr="00D4788F">
        <w:rPr>
          <w:rFonts w:ascii="Arial" w:hAnsi="Arial"/>
        </w:rPr>
        <w:t>Louis Taylor is CEO of the British Business Bank. Prior to that, he was Chief Executive of UK Export Finance (UKEF), the UK’s export credit agency, for seven years. He also held roles as a Director General in the Department for International Trade, and a member of its Executive Committee and Management Board.</w:t>
      </w:r>
    </w:p>
    <w:p w14:paraId="72F1141C" w14:textId="77777777" w:rsidR="00D4788F" w:rsidRDefault="00D4788F" w:rsidP="00D4788F">
      <w:pPr>
        <w:overflowPunct w:val="0"/>
        <w:autoSpaceDE w:val="0"/>
        <w:autoSpaceDN w:val="0"/>
        <w:adjustRightInd w:val="0"/>
        <w:spacing w:line="240" w:lineRule="auto"/>
        <w:jc w:val="both"/>
        <w:textAlignment w:val="baseline"/>
        <w:rPr>
          <w:rFonts w:ascii="Arial" w:hAnsi="Arial"/>
        </w:rPr>
      </w:pPr>
    </w:p>
    <w:p w14:paraId="52168F29" w14:textId="5AA1240E" w:rsidR="00D4788F" w:rsidRPr="00D4788F" w:rsidRDefault="00D4788F" w:rsidP="00D4788F">
      <w:pPr>
        <w:overflowPunct w:val="0"/>
        <w:autoSpaceDE w:val="0"/>
        <w:autoSpaceDN w:val="0"/>
        <w:adjustRightInd w:val="0"/>
        <w:spacing w:line="240" w:lineRule="auto"/>
        <w:jc w:val="both"/>
        <w:textAlignment w:val="baseline"/>
        <w:rPr>
          <w:rFonts w:ascii="Arial" w:hAnsi="Arial"/>
        </w:rPr>
      </w:pPr>
      <w:r w:rsidRPr="00D4788F">
        <w:rPr>
          <w:rFonts w:ascii="Arial" w:hAnsi="Arial"/>
        </w:rPr>
        <w:t xml:space="preserve">Before joining UKEF, Louis held a range of senior roles at Standard Chartered Bank, including from 2013 to 2015 as Chief Operating Officer of Group Treasury, based in London. Before that, he spent three years as the bank’s CEO for Vietnam, Cambodia and Laos, based in Ho Chi Minh City. During this </w:t>
      </w:r>
      <w:proofErr w:type="gramStart"/>
      <w:r w:rsidRPr="00D4788F">
        <w:rPr>
          <w:rFonts w:ascii="Arial" w:hAnsi="Arial"/>
        </w:rPr>
        <w:t>time</w:t>
      </w:r>
      <w:proofErr w:type="gramEnd"/>
      <w:r w:rsidRPr="00D4788F">
        <w:rPr>
          <w:rFonts w:ascii="Arial" w:hAnsi="Arial"/>
        </w:rPr>
        <w:t xml:space="preserve"> he was also Vice Chairman of the European Chamber of Commerce in Vietnam (</w:t>
      </w:r>
      <w:proofErr w:type="spellStart"/>
      <w:r w:rsidRPr="00D4788F">
        <w:rPr>
          <w:rFonts w:ascii="Arial" w:hAnsi="Arial"/>
        </w:rPr>
        <w:t>Eurocham</w:t>
      </w:r>
      <w:proofErr w:type="spellEnd"/>
      <w:r w:rsidRPr="00D4788F">
        <w:rPr>
          <w:rFonts w:ascii="Arial" w:hAnsi="Arial"/>
        </w:rPr>
        <w:t>). He joined Standard Chartered in London in 2004, working in Group Corporate Development, which undertakes the bank’s acquisitions, divestments and other inorganic growth initiatives.</w:t>
      </w:r>
    </w:p>
    <w:p w14:paraId="467F0956" w14:textId="77777777" w:rsidR="00D4788F" w:rsidRPr="00D4788F" w:rsidRDefault="00D4788F" w:rsidP="00D4788F">
      <w:pPr>
        <w:overflowPunct w:val="0"/>
        <w:autoSpaceDE w:val="0"/>
        <w:autoSpaceDN w:val="0"/>
        <w:adjustRightInd w:val="0"/>
        <w:spacing w:line="240" w:lineRule="auto"/>
        <w:jc w:val="both"/>
        <w:textAlignment w:val="baseline"/>
        <w:rPr>
          <w:rFonts w:ascii="Arial" w:hAnsi="Arial"/>
        </w:rPr>
      </w:pPr>
      <w:r w:rsidRPr="00D4788F">
        <w:rPr>
          <w:rFonts w:ascii="Arial" w:hAnsi="Arial"/>
        </w:rPr>
        <w:t>His earlier career included eight years working for JP Morgan in debt capital markets and mergers and acquisitions, and five years in corporate development and strategy with two industrial companies, Cookson Group plc and BTR plc.</w:t>
      </w:r>
    </w:p>
    <w:p w14:paraId="236BC2DD" w14:textId="77777777" w:rsidR="00D4788F" w:rsidRDefault="00D4788F" w:rsidP="00D4788F">
      <w:pPr>
        <w:overflowPunct w:val="0"/>
        <w:autoSpaceDE w:val="0"/>
        <w:autoSpaceDN w:val="0"/>
        <w:adjustRightInd w:val="0"/>
        <w:spacing w:line="240" w:lineRule="auto"/>
        <w:jc w:val="both"/>
        <w:textAlignment w:val="baseline"/>
        <w:rPr>
          <w:rFonts w:ascii="Arial" w:hAnsi="Arial"/>
        </w:rPr>
      </w:pPr>
    </w:p>
    <w:p w14:paraId="1296023C" w14:textId="259D6D03" w:rsidR="00D4788F" w:rsidRPr="00D4788F" w:rsidRDefault="00D4788F" w:rsidP="00D4788F">
      <w:pPr>
        <w:overflowPunct w:val="0"/>
        <w:autoSpaceDE w:val="0"/>
        <w:autoSpaceDN w:val="0"/>
        <w:adjustRightInd w:val="0"/>
        <w:spacing w:line="240" w:lineRule="auto"/>
        <w:jc w:val="both"/>
        <w:textAlignment w:val="baseline"/>
        <w:rPr>
          <w:rFonts w:ascii="Arial" w:hAnsi="Arial"/>
        </w:rPr>
      </w:pPr>
      <w:r w:rsidRPr="00D4788F">
        <w:rPr>
          <w:rFonts w:ascii="Arial" w:hAnsi="Arial"/>
        </w:rPr>
        <w:t xml:space="preserve">Louis is a trustee of the charity </w:t>
      </w:r>
      <w:proofErr w:type="spellStart"/>
      <w:r w:rsidRPr="00D4788F">
        <w:rPr>
          <w:rFonts w:ascii="Arial" w:hAnsi="Arial"/>
        </w:rPr>
        <w:t>Sightsavers</w:t>
      </w:r>
      <w:proofErr w:type="spellEnd"/>
      <w:r w:rsidRPr="00D4788F">
        <w:rPr>
          <w:rFonts w:ascii="Arial" w:hAnsi="Arial"/>
        </w:rPr>
        <w:t>, which prevents sight loss and avoidable blindness, and promotes equal rights for the disabled. He is also a former chair of trustees of the charity Music in Prisons, which runs music education projects to help rehabilitate offenders, and a former chair of governors of the Royal Grammar School in Newcastle upon Tyne. He has an MA in Law from the University of Cambridge.</w:t>
      </w:r>
    </w:p>
    <w:p w14:paraId="04679B16" w14:textId="77777777" w:rsidR="008B7337" w:rsidRPr="006422A7" w:rsidRDefault="008B7337" w:rsidP="007265D2">
      <w:pPr>
        <w:overflowPunct w:val="0"/>
        <w:autoSpaceDE w:val="0"/>
        <w:autoSpaceDN w:val="0"/>
        <w:adjustRightInd w:val="0"/>
        <w:spacing w:line="240" w:lineRule="auto"/>
        <w:textAlignment w:val="baseline"/>
        <w:rPr>
          <w:rFonts w:ascii="Arial" w:hAnsi="Arial"/>
        </w:rPr>
      </w:pPr>
    </w:p>
    <w:p w14:paraId="15B55BA9" w14:textId="5F44EFDE" w:rsidR="008B7337" w:rsidRDefault="008B7337" w:rsidP="00356E10">
      <w:pPr>
        <w:overflowPunct w:val="0"/>
        <w:autoSpaceDE w:val="0"/>
        <w:autoSpaceDN w:val="0"/>
        <w:adjustRightInd w:val="0"/>
        <w:spacing w:after="120" w:line="240" w:lineRule="auto"/>
        <w:textAlignment w:val="baseline"/>
        <w:rPr>
          <w:rFonts w:ascii="Arial" w:hAnsi="Arial"/>
          <w:b/>
          <w:bCs/>
        </w:rPr>
      </w:pPr>
      <w:r>
        <w:rPr>
          <w:rFonts w:ascii="Arial" w:hAnsi="Arial"/>
          <w:b/>
          <w:bCs/>
        </w:rPr>
        <w:t xml:space="preserve">David </w:t>
      </w:r>
      <w:r w:rsidR="00EF0280">
        <w:rPr>
          <w:rFonts w:ascii="Arial" w:hAnsi="Arial"/>
          <w:b/>
          <w:bCs/>
        </w:rPr>
        <w:t xml:space="preserve">Hourican – Chief Financial Officer </w:t>
      </w:r>
      <w:r>
        <w:rPr>
          <w:rFonts w:ascii="Arial" w:hAnsi="Arial"/>
          <w:b/>
          <w:bCs/>
        </w:rPr>
        <w:t xml:space="preserve"> </w:t>
      </w:r>
    </w:p>
    <w:p w14:paraId="4475D231" w14:textId="5F7838B8" w:rsidR="00EF0280" w:rsidRPr="00EF0280" w:rsidRDefault="00EF0280" w:rsidP="00EF0280">
      <w:pPr>
        <w:overflowPunct w:val="0"/>
        <w:autoSpaceDE w:val="0"/>
        <w:autoSpaceDN w:val="0"/>
        <w:adjustRightInd w:val="0"/>
        <w:spacing w:line="240" w:lineRule="auto"/>
        <w:jc w:val="both"/>
        <w:textAlignment w:val="baseline"/>
        <w:rPr>
          <w:rFonts w:ascii="Arial" w:hAnsi="Arial"/>
        </w:rPr>
      </w:pPr>
      <w:r w:rsidRPr="00EF0280">
        <w:rPr>
          <w:rFonts w:ascii="Arial" w:hAnsi="Arial"/>
        </w:rPr>
        <w:t>David Hourican was appointed CFO in December 2022. David is an experienced finance leader having started his career as a Chartered Accountant with Price Waterhouse and spent his early career in business development for the Home Retail Group plc before moving into banking, where he held various senior finance roles with Royal Bank of Scotland Group plc in both Dublin and Singapore.</w:t>
      </w:r>
    </w:p>
    <w:p w14:paraId="14C73B38" w14:textId="77777777" w:rsidR="00EF0280" w:rsidRDefault="00EF0280" w:rsidP="00EF0280">
      <w:pPr>
        <w:overflowPunct w:val="0"/>
        <w:autoSpaceDE w:val="0"/>
        <w:autoSpaceDN w:val="0"/>
        <w:adjustRightInd w:val="0"/>
        <w:spacing w:line="240" w:lineRule="auto"/>
        <w:jc w:val="both"/>
        <w:textAlignment w:val="baseline"/>
        <w:rPr>
          <w:rFonts w:ascii="Arial" w:hAnsi="Arial"/>
        </w:rPr>
      </w:pPr>
    </w:p>
    <w:p w14:paraId="770D8BBF" w14:textId="78A2B358" w:rsidR="00EF0280" w:rsidRPr="00EF0280" w:rsidRDefault="00EF0280" w:rsidP="00EF0280">
      <w:pPr>
        <w:overflowPunct w:val="0"/>
        <w:autoSpaceDE w:val="0"/>
        <w:autoSpaceDN w:val="0"/>
        <w:adjustRightInd w:val="0"/>
        <w:spacing w:line="240" w:lineRule="auto"/>
        <w:jc w:val="both"/>
        <w:textAlignment w:val="baseline"/>
        <w:rPr>
          <w:rFonts w:ascii="Arial" w:hAnsi="Arial"/>
        </w:rPr>
      </w:pPr>
      <w:r w:rsidRPr="00EF0280">
        <w:rPr>
          <w:rFonts w:ascii="Arial" w:hAnsi="Arial"/>
        </w:rPr>
        <w:t>Before joining the Bank, David was Chief Operating Officer of the Warburton Group, a private investment group based in Australia and prior to that was CFO of Kingfisher Investments and Chief Administrative Officer of Al-Futtaim Group in Singapore.</w:t>
      </w:r>
    </w:p>
    <w:p w14:paraId="02AB9064" w14:textId="77777777" w:rsidR="00EF0280" w:rsidRDefault="00EF0280" w:rsidP="00EF0280">
      <w:pPr>
        <w:overflowPunct w:val="0"/>
        <w:autoSpaceDE w:val="0"/>
        <w:autoSpaceDN w:val="0"/>
        <w:adjustRightInd w:val="0"/>
        <w:spacing w:line="240" w:lineRule="auto"/>
        <w:jc w:val="both"/>
        <w:textAlignment w:val="baseline"/>
        <w:rPr>
          <w:rFonts w:ascii="Arial" w:hAnsi="Arial"/>
        </w:rPr>
      </w:pPr>
    </w:p>
    <w:p w14:paraId="1213F19C" w14:textId="5E69640C" w:rsidR="008B7337" w:rsidRPr="00EF0280" w:rsidRDefault="00EF0280" w:rsidP="00EF0280">
      <w:pPr>
        <w:overflowPunct w:val="0"/>
        <w:autoSpaceDE w:val="0"/>
        <w:autoSpaceDN w:val="0"/>
        <w:adjustRightInd w:val="0"/>
        <w:spacing w:line="240" w:lineRule="auto"/>
        <w:jc w:val="both"/>
        <w:textAlignment w:val="baseline"/>
        <w:rPr>
          <w:rFonts w:ascii="Arial" w:hAnsi="Arial"/>
        </w:rPr>
      </w:pPr>
      <w:r w:rsidRPr="00EF0280">
        <w:rPr>
          <w:rFonts w:ascii="Arial" w:hAnsi="Arial"/>
        </w:rPr>
        <w:t xml:space="preserve">David holds a </w:t>
      </w:r>
      <w:proofErr w:type="gramStart"/>
      <w:r w:rsidRPr="00EF0280">
        <w:rPr>
          <w:rFonts w:ascii="Arial" w:hAnsi="Arial"/>
        </w:rPr>
        <w:t>Bachelor’s in Business Studies</w:t>
      </w:r>
      <w:proofErr w:type="gramEnd"/>
      <w:r w:rsidRPr="00EF0280">
        <w:rPr>
          <w:rFonts w:ascii="Arial" w:hAnsi="Arial"/>
        </w:rPr>
        <w:t xml:space="preserve"> from Trinity College Dublin and a Master of Accountancy from University College Dublin.</w:t>
      </w:r>
    </w:p>
    <w:p w14:paraId="148AC55D" w14:textId="77777777" w:rsidR="008B7337" w:rsidRDefault="008B7337" w:rsidP="007265D2">
      <w:pPr>
        <w:overflowPunct w:val="0"/>
        <w:autoSpaceDE w:val="0"/>
        <w:autoSpaceDN w:val="0"/>
        <w:adjustRightInd w:val="0"/>
        <w:spacing w:line="240" w:lineRule="auto"/>
        <w:textAlignment w:val="baseline"/>
        <w:rPr>
          <w:rFonts w:ascii="Arial" w:hAnsi="Arial"/>
        </w:rPr>
      </w:pPr>
    </w:p>
    <w:p w14:paraId="2AC23D54" w14:textId="1C171D57" w:rsidR="008B7337" w:rsidRPr="00356E10" w:rsidRDefault="000A47B3" w:rsidP="00356E10">
      <w:pPr>
        <w:spacing w:after="120"/>
        <w:rPr>
          <w:rFonts w:ascii="Arial" w:hAnsi="Arial"/>
          <w:b/>
          <w:bCs/>
        </w:rPr>
      </w:pPr>
      <w:r w:rsidRPr="00356E10">
        <w:rPr>
          <w:rFonts w:ascii="Arial" w:hAnsi="Arial"/>
          <w:b/>
          <w:bCs/>
        </w:rPr>
        <w:t>Neeta Atkar – Senior Independent Director, Chair, Risk Committee, &amp; Interim Chair, Remuneration Committee</w:t>
      </w:r>
    </w:p>
    <w:p w14:paraId="51B0F98B" w14:textId="77777777" w:rsidR="00C871B1" w:rsidRPr="00C871B1" w:rsidRDefault="00C871B1" w:rsidP="00C871B1">
      <w:pPr>
        <w:overflowPunct w:val="0"/>
        <w:autoSpaceDE w:val="0"/>
        <w:autoSpaceDN w:val="0"/>
        <w:adjustRightInd w:val="0"/>
        <w:spacing w:line="240" w:lineRule="auto"/>
        <w:jc w:val="both"/>
        <w:textAlignment w:val="baseline"/>
        <w:rPr>
          <w:rFonts w:ascii="Arial" w:hAnsi="Arial"/>
          <w:szCs w:val="8"/>
        </w:rPr>
      </w:pPr>
      <w:r w:rsidRPr="00C871B1">
        <w:rPr>
          <w:rFonts w:ascii="Arial" w:hAnsi="Arial"/>
          <w:szCs w:val="8"/>
        </w:rPr>
        <w:t xml:space="preserve">Neeta is an experienced Risk Professional with over 25 </w:t>
      </w:r>
      <w:proofErr w:type="spellStart"/>
      <w:r w:rsidRPr="00C871B1">
        <w:rPr>
          <w:rFonts w:ascii="Arial" w:hAnsi="Arial"/>
          <w:szCs w:val="8"/>
        </w:rPr>
        <w:t>years experience</w:t>
      </w:r>
      <w:proofErr w:type="spellEnd"/>
      <w:r w:rsidRPr="00C871B1">
        <w:rPr>
          <w:rFonts w:ascii="Arial" w:hAnsi="Arial"/>
          <w:szCs w:val="8"/>
        </w:rPr>
        <w:t xml:space="preserve"> working in the financial services private and public sectors across a range of risk disciplines.</w:t>
      </w:r>
    </w:p>
    <w:p w14:paraId="4EB1056B" w14:textId="77777777" w:rsidR="00C871B1" w:rsidRDefault="00C871B1" w:rsidP="00C871B1">
      <w:pPr>
        <w:overflowPunct w:val="0"/>
        <w:autoSpaceDE w:val="0"/>
        <w:autoSpaceDN w:val="0"/>
        <w:adjustRightInd w:val="0"/>
        <w:spacing w:line="240" w:lineRule="auto"/>
        <w:jc w:val="both"/>
        <w:textAlignment w:val="baseline"/>
        <w:rPr>
          <w:rFonts w:ascii="Arial" w:hAnsi="Arial"/>
          <w:szCs w:val="8"/>
        </w:rPr>
      </w:pPr>
    </w:p>
    <w:p w14:paraId="0D622091" w14:textId="1813E7D1" w:rsidR="00C871B1" w:rsidRPr="00C871B1" w:rsidRDefault="00C871B1" w:rsidP="00C871B1">
      <w:pPr>
        <w:overflowPunct w:val="0"/>
        <w:autoSpaceDE w:val="0"/>
        <w:autoSpaceDN w:val="0"/>
        <w:adjustRightInd w:val="0"/>
        <w:spacing w:line="240" w:lineRule="auto"/>
        <w:jc w:val="both"/>
        <w:textAlignment w:val="baseline"/>
        <w:rPr>
          <w:rFonts w:ascii="Arial" w:hAnsi="Arial"/>
          <w:szCs w:val="8"/>
        </w:rPr>
      </w:pPr>
      <w:r w:rsidRPr="00C871B1">
        <w:rPr>
          <w:rFonts w:ascii="Arial" w:hAnsi="Arial"/>
          <w:szCs w:val="8"/>
        </w:rPr>
        <w:t xml:space="preserve">Until the end of 2016, Neeta was the Chief Risk Officer at TSB Bank plc and was a key member of the Executive team that was responsible for creating the bank that was divested from Lloyds Banking Group and undertaking a successful </w:t>
      </w:r>
      <w:r w:rsidRPr="00C871B1">
        <w:rPr>
          <w:rFonts w:ascii="Arial" w:hAnsi="Arial"/>
          <w:szCs w:val="8"/>
        </w:rPr>
        <w:lastRenderedPageBreak/>
        <w:t>IPO in 2014. She is currently on the Board of Quilter plc and is a member of its Board Audit Committee, Board Risk Committee and Board Technology and Operations Committee.</w:t>
      </w:r>
    </w:p>
    <w:p w14:paraId="16AD7951" w14:textId="77777777" w:rsidR="00C871B1" w:rsidRDefault="00C871B1" w:rsidP="00C871B1">
      <w:pPr>
        <w:overflowPunct w:val="0"/>
        <w:autoSpaceDE w:val="0"/>
        <w:autoSpaceDN w:val="0"/>
        <w:adjustRightInd w:val="0"/>
        <w:spacing w:line="240" w:lineRule="auto"/>
        <w:jc w:val="both"/>
        <w:textAlignment w:val="baseline"/>
        <w:rPr>
          <w:rFonts w:ascii="Arial" w:hAnsi="Arial"/>
          <w:szCs w:val="8"/>
        </w:rPr>
      </w:pPr>
    </w:p>
    <w:p w14:paraId="088810B4" w14:textId="021FBD4A" w:rsidR="00C871B1" w:rsidRPr="00C871B1" w:rsidRDefault="00C871B1" w:rsidP="00C871B1">
      <w:pPr>
        <w:overflowPunct w:val="0"/>
        <w:autoSpaceDE w:val="0"/>
        <w:autoSpaceDN w:val="0"/>
        <w:adjustRightInd w:val="0"/>
        <w:spacing w:line="240" w:lineRule="auto"/>
        <w:jc w:val="both"/>
        <w:textAlignment w:val="baseline"/>
        <w:rPr>
          <w:rFonts w:ascii="Arial" w:hAnsi="Arial"/>
          <w:szCs w:val="8"/>
        </w:rPr>
      </w:pPr>
      <w:r w:rsidRPr="00C871B1">
        <w:rPr>
          <w:rFonts w:ascii="Arial" w:hAnsi="Arial"/>
          <w:szCs w:val="8"/>
        </w:rPr>
        <w:t>Neeta started her career at the Bank of England, undertaking a variety of roles both in the Bank’s own banking department and in its supervisory function. She moved to the FSA on its creation, leaving in 2000 to move into consulting where she worked with a range of financial service clients on risk and regulatory matters. Thereafter, she has held senior positions at both banks and insurance companies, in a range of roles covering operational, credit and regulatory risks.</w:t>
      </w:r>
    </w:p>
    <w:p w14:paraId="1F5B06C7" w14:textId="77777777" w:rsidR="00C871B1" w:rsidRDefault="00C871B1" w:rsidP="00C871B1">
      <w:pPr>
        <w:overflowPunct w:val="0"/>
        <w:autoSpaceDE w:val="0"/>
        <w:autoSpaceDN w:val="0"/>
        <w:adjustRightInd w:val="0"/>
        <w:spacing w:line="240" w:lineRule="auto"/>
        <w:jc w:val="both"/>
        <w:textAlignment w:val="baseline"/>
        <w:rPr>
          <w:rFonts w:ascii="Arial" w:hAnsi="Arial"/>
          <w:szCs w:val="8"/>
        </w:rPr>
      </w:pPr>
    </w:p>
    <w:p w14:paraId="37A1CC95" w14:textId="7176B692" w:rsidR="008B7337" w:rsidRPr="00C871B1" w:rsidRDefault="00C871B1" w:rsidP="00C871B1">
      <w:pPr>
        <w:overflowPunct w:val="0"/>
        <w:autoSpaceDE w:val="0"/>
        <w:autoSpaceDN w:val="0"/>
        <w:adjustRightInd w:val="0"/>
        <w:spacing w:line="240" w:lineRule="auto"/>
        <w:jc w:val="both"/>
        <w:textAlignment w:val="baseline"/>
        <w:rPr>
          <w:rFonts w:ascii="Arial" w:hAnsi="Arial"/>
          <w:szCs w:val="8"/>
        </w:rPr>
      </w:pPr>
      <w:r w:rsidRPr="00C871B1">
        <w:rPr>
          <w:rFonts w:ascii="Arial" w:hAnsi="Arial"/>
          <w:szCs w:val="8"/>
        </w:rPr>
        <w:t>Neeta holds a BSc in Accounting and Law from Southampton University. She has been a Justice of the Peace for 20 years.</w:t>
      </w:r>
    </w:p>
    <w:p w14:paraId="55324120" w14:textId="77777777" w:rsidR="008B7337" w:rsidRPr="006422A7" w:rsidRDefault="008B7337" w:rsidP="007265D2">
      <w:pPr>
        <w:overflowPunct w:val="0"/>
        <w:autoSpaceDE w:val="0"/>
        <w:autoSpaceDN w:val="0"/>
        <w:adjustRightInd w:val="0"/>
        <w:spacing w:line="240" w:lineRule="auto"/>
        <w:textAlignment w:val="baseline"/>
        <w:rPr>
          <w:rFonts w:ascii="Arial" w:hAnsi="Arial"/>
          <w:b/>
          <w:bCs/>
        </w:rPr>
      </w:pPr>
    </w:p>
    <w:p w14:paraId="1D226B0A" w14:textId="63FF8850" w:rsidR="008B7337" w:rsidRDefault="00C871B1" w:rsidP="00356E10">
      <w:pPr>
        <w:overflowPunct w:val="0"/>
        <w:autoSpaceDE w:val="0"/>
        <w:autoSpaceDN w:val="0"/>
        <w:adjustRightInd w:val="0"/>
        <w:spacing w:after="120" w:line="240" w:lineRule="auto"/>
        <w:textAlignment w:val="baseline"/>
        <w:rPr>
          <w:rFonts w:ascii="Arial" w:hAnsi="Arial"/>
          <w:b/>
          <w:bCs/>
        </w:rPr>
      </w:pPr>
      <w:r w:rsidRPr="00C871B1">
        <w:rPr>
          <w:rFonts w:ascii="Arial" w:hAnsi="Arial"/>
          <w:b/>
          <w:bCs/>
        </w:rPr>
        <w:t>Jenny Knott – Non-Executive Direct</w:t>
      </w:r>
      <w:r>
        <w:rPr>
          <w:rFonts w:ascii="Arial" w:hAnsi="Arial"/>
          <w:b/>
          <w:bCs/>
        </w:rPr>
        <w:t xml:space="preserve">or &amp; Chair, Audit Committee </w:t>
      </w:r>
    </w:p>
    <w:p w14:paraId="077282E7" w14:textId="2DDD646E" w:rsidR="007545E1" w:rsidRPr="007545E1" w:rsidRDefault="007545E1" w:rsidP="007545E1">
      <w:pPr>
        <w:overflowPunct w:val="0"/>
        <w:autoSpaceDE w:val="0"/>
        <w:autoSpaceDN w:val="0"/>
        <w:adjustRightInd w:val="0"/>
        <w:spacing w:line="240" w:lineRule="auto"/>
        <w:jc w:val="both"/>
        <w:textAlignment w:val="baseline"/>
        <w:rPr>
          <w:rFonts w:ascii="Arial" w:hAnsi="Arial"/>
        </w:rPr>
      </w:pPr>
      <w:r w:rsidRPr="007545E1">
        <w:rPr>
          <w:rFonts w:ascii="Arial" w:hAnsi="Arial"/>
        </w:rPr>
        <w:t>Jenny Knott is both a board level investment banker with over 30 years’ experience, as well as a leading innovator in financial technologies.</w:t>
      </w:r>
    </w:p>
    <w:p w14:paraId="36277FFD" w14:textId="77777777" w:rsidR="007545E1" w:rsidRDefault="007545E1" w:rsidP="007545E1">
      <w:pPr>
        <w:overflowPunct w:val="0"/>
        <w:autoSpaceDE w:val="0"/>
        <w:autoSpaceDN w:val="0"/>
        <w:adjustRightInd w:val="0"/>
        <w:spacing w:line="240" w:lineRule="auto"/>
        <w:jc w:val="both"/>
        <w:textAlignment w:val="baseline"/>
        <w:rPr>
          <w:rFonts w:ascii="Arial" w:hAnsi="Arial"/>
        </w:rPr>
      </w:pPr>
    </w:p>
    <w:p w14:paraId="4F148925" w14:textId="60ABB40F" w:rsidR="007545E1" w:rsidRPr="007545E1" w:rsidRDefault="007545E1" w:rsidP="007545E1">
      <w:pPr>
        <w:overflowPunct w:val="0"/>
        <w:autoSpaceDE w:val="0"/>
        <w:autoSpaceDN w:val="0"/>
        <w:adjustRightInd w:val="0"/>
        <w:spacing w:line="240" w:lineRule="auto"/>
        <w:jc w:val="both"/>
        <w:textAlignment w:val="baseline"/>
        <w:rPr>
          <w:rFonts w:ascii="Arial" w:hAnsi="Arial"/>
        </w:rPr>
      </w:pPr>
      <w:r w:rsidRPr="007545E1">
        <w:rPr>
          <w:rFonts w:ascii="Arial" w:hAnsi="Arial"/>
        </w:rPr>
        <w:t>Jenny has extensive board experience having served on Boards of Global Investment Banks, Corporates and Charitable organisations for over 25 years.</w:t>
      </w:r>
    </w:p>
    <w:p w14:paraId="70727209" w14:textId="77777777" w:rsidR="007545E1" w:rsidRDefault="007545E1" w:rsidP="007545E1">
      <w:pPr>
        <w:overflowPunct w:val="0"/>
        <w:autoSpaceDE w:val="0"/>
        <w:autoSpaceDN w:val="0"/>
        <w:adjustRightInd w:val="0"/>
        <w:spacing w:line="240" w:lineRule="auto"/>
        <w:jc w:val="both"/>
        <w:textAlignment w:val="baseline"/>
        <w:rPr>
          <w:rFonts w:ascii="Arial" w:hAnsi="Arial"/>
        </w:rPr>
      </w:pPr>
    </w:p>
    <w:p w14:paraId="61DE373E" w14:textId="2465CCE7" w:rsidR="007545E1" w:rsidRPr="007545E1" w:rsidRDefault="007545E1" w:rsidP="007545E1">
      <w:pPr>
        <w:overflowPunct w:val="0"/>
        <w:autoSpaceDE w:val="0"/>
        <w:autoSpaceDN w:val="0"/>
        <w:adjustRightInd w:val="0"/>
        <w:spacing w:line="240" w:lineRule="auto"/>
        <w:jc w:val="both"/>
        <w:textAlignment w:val="baseline"/>
        <w:rPr>
          <w:rFonts w:ascii="Arial" w:hAnsi="Arial"/>
        </w:rPr>
      </w:pPr>
      <w:r w:rsidRPr="007545E1">
        <w:rPr>
          <w:rFonts w:ascii="Arial" w:hAnsi="Arial"/>
        </w:rPr>
        <w:t xml:space="preserve">Jenny is a Trustee and the Chair of the Board Audit and Risk Committee for OCA, a scientific research charity for female cancers. As the Chairwoman of </w:t>
      </w:r>
      <w:proofErr w:type="spellStart"/>
      <w:r w:rsidRPr="007545E1">
        <w:rPr>
          <w:rFonts w:ascii="Arial" w:hAnsi="Arial"/>
        </w:rPr>
        <w:t>Equiida</w:t>
      </w:r>
      <w:proofErr w:type="spellEnd"/>
      <w:r w:rsidRPr="007545E1">
        <w:rPr>
          <w:rFonts w:ascii="Arial" w:hAnsi="Arial"/>
        </w:rPr>
        <w:t xml:space="preserve">, a global, senior executive leadership advisory firm, she promotes the science that greater inclusivity improves business performance and innovation. Jenny is a Nonexecutive director (NED) for Simply Health, a </w:t>
      </w:r>
      <w:proofErr w:type="gramStart"/>
      <w:r w:rsidRPr="007545E1">
        <w:rPr>
          <w:rFonts w:ascii="Arial" w:hAnsi="Arial"/>
        </w:rPr>
        <w:t>150 year-old</w:t>
      </w:r>
      <w:proofErr w:type="gramEnd"/>
      <w:r w:rsidRPr="007545E1">
        <w:rPr>
          <w:rFonts w:ascii="Arial" w:hAnsi="Arial"/>
        </w:rPr>
        <w:t xml:space="preserve"> mutual with the purpose to improve health outcomes for the many, and she is particularly focused on their digital services strategy. Jenny is also an independent NED and the Chair of the Remuneration Committee for Gresham Technology plc, a software business who bring confidence and trust to data. Jenny is a co-founder of FinTech Strategic Advisors, assisting Clients with their FinTech investment and adoption strategies and supporting start-ups to achieve scale and commercial success.</w:t>
      </w:r>
    </w:p>
    <w:p w14:paraId="66D8A765" w14:textId="77777777" w:rsidR="007545E1" w:rsidRDefault="007545E1" w:rsidP="007545E1">
      <w:pPr>
        <w:overflowPunct w:val="0"/>
        <w:autoSpaceDE w:val="0"/>
        <w:autoSpaceDN w:val="0"/>
        <w:adjustRightInd w:val="0"/>
        <w:spacing w:line="240" w:lineRule="auto"/>
        <w:jc w:val="both"/>
        <w:textAlignment w:val="baseline"/>
        <w:rPr>
          <w:rFonts w:ascii="Arial" w:hAnsi="Arial"/>
        </w:rPr>
      </w:pPr>
    </w:p>
    <w:p w14:paraId="24FA2775" w14:textId="718DC558" w:rsidR="007545E1" w:rsidRPr="007545E1" w:rsidRDefault="007545E1" w:rsidP="007545E1">
      <w:pPr>
        <w:overflowPunct w:val="0"/>
        <w:autoSpaceDE w:val="0"/>
        <w:autoSpaceDN w:val="0"/>
        <w:adjustRightInd w:val="0"/>
        <w:spacing w:line="240" w:lineRule="auto"/>
        <w:jc w:val="both"/>
        <w:textAlignment w:val="baseline"/>
        <w:rPr>
          <w:rFonts w:ascii="Arial" w:hAnsi="Arial"/>
        </w:rPr>
      </w:pPr>
      <w:r w:rsidRPr="007545E1">
        <w:rPr>
          <w:rFonts w:ascii="Arial" w:hAnsi="Arial"/>
        </w:rPr>
        <w:t>As an investment banker, Jenny was CEO of a UK and International Investment bank, Finance Director and COO; she is widely respected for leading the modernisation and transformation of her organizations and for her knowledge of technical finance, emerging technology and regulatory environments.</w:t>
      </w:r>
    </w:p>
    <w:p w14:paraId="69DA49E7" w14:textId="77777777" w:rsidR="007545E1" w:rsidRDefault="007545E1" w:rsidP="007545E1">
      <w:pPr>
        <w:overflowPunct w:val="0"/>
        <w:autoSpaceDE w:val="0"/>
        <w:autoSpaceDN w:val="0"/>
        <w:adjustRightInd w:val="0"/>
        <w:spacing w:line="240" w:lineRule="auto"/>
        <w:jc w:val="both"/>
        <w:textAlignment w:val="baseline"/>
        <w:rPr>
          <w:rFonts w:ascii="Arial" w:hAnsi="Arial"/>
        </w:rPr>
      </w:pPr>
    </w:p>
    <w:p w14:paraId="4C712FA1" w14:textId="6D58FCC5" w:rsidR="008B7337" w:rsidRPr="00C871B1" w:rsidRDefault="007545E1" w:rsidP="007545E1">
      <w:pPr>
        <w:overflowPunct w:val="0"/>
        <w:autoSpaceDE w:val="0"/>
        <w:autoSpaceDN w:val="0"/>
        <w:adjustRightInd w:val="0"/>
        <w:spacing w:line="240" w:lineRule="auto"/>
        <w:jc w:val="both"/>
        <w:textAlignment w:val="baseline"/>
        <w:rPr>
          <w:rFonts w:ascii="Arial" w:hAnsi="Arial"/>
        </w:rPr>
      </w:pPr>
      <w:r w:rsidRPr="007545E1">
        <w:rPr>
          <w:rFonts w:ascii="Arial" w:hAnsi="Arial"/>
        </w:rPr>
        <w:t>Jenny believes in stakeholder capitalism and supports the World Economic Forum’s Sustainable Capitalism and ESG Metrics as being a ‘must’ for a successful business to thrive and survive. Jenny acts as mentor and advisor to a number of CEOs and is a frequent public speaker on emerging FinTech as well as the commercial benefits of truly innovative and inclusive Board and Corporate cultures.</w:t>
      </w:r>
    </w:p>
    <w:p w14:paraId="2D3D1AE4" w14:textId="77777777" w:rsidR="008B7337" w:rsidRPr="00C871B1" w:rsidRDefault="008B7337" w:rsidP="007265D2">
      <w:pPr>
        <w:overflowPunct w:val="0"/>
        <w:autoSpaceDE w:val="0"/>
        <w:autoSpaceDN w:val="0"/>
        <w:adjustRightInd w:val="0"/>
        <w:spacing w:line="240" w:lineRule="auto"/>
        <w:textAlignment w:val="baseline"/>
        <w:rPr>
          <w:rFonts w:ascii="Arial" w:hAnsi="Arial"/>
        </w:rPr>
      </w:pPr>
    </w:p>
    <w:p w14:paraId="5CE7F55D" w14:textId="325436C6" w:rsidR="008B7337" w:rsidRDefault="00F21143" w:rsidP="00356E10">
      <w:pPr>
        <w:overflowPunct w:val="0"/>
        <w:autoSpaceDE w:val="0"/>
        <w:autoSpaceDN w:val="0"/>
        <w:adjustRightInd w:val="0"/>
        <w:spacing w:after="120" w:line="240" w:lineRule="auto"/>
        <w:textAlignment w:val="baseline"/>
        <w:rPr>
          <w:rFonts w:ascii="Arial" w:hAnsi="Arial"/>
          <w:b/>
          <w:bCs/>
        </w:rPr>
      </w:pPr>
      <w:r>
        <w:rPr>
          <w:rFonts w:ascii="Arial" w:hAnsi="Arial"/>
          <w:b/>
          <w:bCs/>
        </w:rPr>
        <w:t xml:space="preserve">Suveer Kothari – Board Fellow </w:t>
      </w:r>
    </w:p>
    <w:p w14:paraId="1D6C8269" w14:textId="138E7083" w:rsidR="00F21143" w:rsidRPr="00F21143" w:rsidRDefault="00F21143" w:rsidP="00F21143">
      <w:pPr>
        <w:overflowPunct w:val="0"/>
        <w:autoSpaceDE w:val="0"/>
        <w:autoSpaceDN w:val="0"/>
        <w:adjustRightInd w:val="0"/>
        <w:spacing w:line="240" w:lineRule="auto"/>
        <w:jc w:val="both"/>
        <w:textAlignment w:val="baseline"/>
        <w:rPr>
          <w:rFonts w:ascii="Arial" w:hAnsi="Arial"/>
        </w:rPr>
      </w:pPr>
      <w:r w:rsidRPr="00F21143">
        <w:rPr>
          <w:rFonts w:ascii="Arial" w:hAnsi="Arial"/>
        </w:rPr>
        <w:t>Suveer Kothari is an executive in the technology industry.</w:t>
      </w:r>
    </w:p>
    <w:p w14:paraId="2794EA59" w14:textId="77777777" w:rsidR="00F21143" w:rsidRDefault="00F21143" w:rsidP="00F21143">
      <w:pPr>
        <w:overflowPunct w:val="0"/>
        <w:autoSpaceDE w:val="0"/>
        <w:autoSpaceDN w:val="0"/>
        <w:adjustRightInd w:val="0"/>
        <w:spacing w:line="240" w:lineRule="auto"/>
        <w:jc w:val="both"/>
        <w:textAlignment w:val="baseline"/>
        <w:rPr>
          <w:rFonts w:ascii="Arial" w:hAnsi="Arial"/>
        </w:rPr>
      </w:pPr>
    </w:p>
    <w:p w14:paraId="66D3B9A7" w14:textId="55513617" w:rsidR="00F21143" w:rsidRPr="00F21143" w:rsidRDefault="00F21143" w:rsidP="00F21143">
      <w:pPr>
        <w:overflowPunct w:val="0"/>
        <w:autoSpaceDE w:val="0"/>
        <w:autoSpaceDN w:val="0"/>
        <w:adjustRightInd w:val="0"/>
        <w:spacing w:line="240" w:lineRule="auto"/>
        <w:jc w:val="both"/>
        <w:textAlignment w:val="baseline"/>
        <w:rPr>
          <w:rFonts w:ascii="Arial" w:hAnsi="Arial"/>
        </w:rPr>
      </w:pPr>
      <w:r w:rsidRPr="00F21143">
        <w:rPr>
          <w:rFonts w:ascii="Arial" w:hAnsi="Arial"/>
        </w:rPr>
        <w:t>He spent seventeen years at Google, most recently as Vice President, in roles across product management, business development and operations, with a focus on launching new products and teams across various new areas including YouTube, digital advertising, consumer devices, platforms, and subscriptions.</w:t>
      </w:r>
    </w:p>
    <w:p w14:paraId="6C822BE9" w14:textId="77777777" w:rsidR="00F21143" w:rsidRDefault="00F21143" w:rsidP="00F21143">
      <w:pPr>
        <w:overflowPunct w:val="0"/>
        <w:autoSpaceDE w:val="0"/>
        <w:autoSpaceDN w:val="0"/>
        <w:adjustRightInd w:val="0"/>
        <w:spacing w:line="240" w:lineRule="auto"/>
        <w:jc w:val="both"/>
        <w:textAlignment w:val="baseline"/>
        <w:rPr>
          <w:rFonts w:ascii="Arial" w:hAnsi="Arial"/>
        </w:rPr>
      </w:pPr>
    </w:p>
    <w:p w14:paraId="63862EC2" w14:textId="16EF1195" w:rsidR="00F21143" w:rsidRPr="00F21143" w:rsidRDefault="00F21143" w:rsidP="00F21143">
      <w:pPr>
        <w:overflowPunct w:val="0"/>
        <w:autoSpaceDE w:val="0"/>
        <w:autoSpaceDN w:val="0"/>
        <w:adjustRightInd w:val="0"/>
        <w:spacing w:line="240" w:lineRule="auto"/>
        <w:jc w:val="both"/>
        <w:textAlignment w:val="baseline"/>
        <w:rPr>
          <w:rFonts w:ascii="Arial" w:hAnsi="Arial"/>
        </w:rPr>
      </w:pPr>
      <w:r w:rsidRPr="00F21143">
        <w:rPr>
          <w:rFonts w:ascii="Arial" w:hAnsi="Arial"/>
        </w:rPr>
        <w:t>Suveer spent the last decade in the US and recently returned to the UK. He currently works in an advisory capacity with C-level executives at technology companies on corporate strategy, new product development, P&amp;L management, partnerships, and navigating organisational transformations.</w:t>
      </w:r>
    </w:p>
    <w:p w14:paraId="77A34E67" w14:textId="77777777" w:rsidR="00F21143" w:rsidRDefault="00F21143" w:rsidP="00F21143">
      <w:pPr>
        <w:overflowPunct w:val="0"/>
        <w:autoSpaceDE w:val="0"/>
        <w:autoSpaceDN w:val="0"/>
        <w:adjustRightInd w:val="0"/>
        <w:spacing w:line="240" w:lineRule="auto"/>
        <w:jc w:val="both"/>
        <w:textAlignment w:val="baseline"/>
        <w:rPr>
          <w:rFonts w:ascii="Arial" w:hAnsi="Arial"/>
        </w:rPr>
      </w:pPr>
    </w:p>
    <w:p w14:paraId="2DBCA251" w14:textId="58DB7EFB" w:rsidR="00F21143" w:rsidRPr="00F21143" w:rsidRDefault="00F21143" w:rsidP="00F21143">
      <w:pPr>
        <w:overflowPunct w:val="0"/>
        <w:autoSpaceDE w:val="0"/>
        <w:autoSpaceDN w:val="0"/>
        <w:adjustRightInd w:val="0"/>
        <w:spacing w:line="240" w:lineRule="auto"/>
        <w:jc w:val="both"/>
        <w:textAlignment w:val="baseline"/>
        <w:rPr>
          <w:rFonts w:ascii="Arial" w:hAnsi="Arial"/>
        </w:rPr>
      </w:pPr>
      <w:r w:rsidRPr="00F21143">
        <w:rPr>
          <w:rFonts w:ascii="Arial" w:hAnsi="Arial"/>
        </w:rPr>
        <w:t>Suveer is a board trustee at One Acre Fund, a charity focused on eliminating smallholder farmer poverty in Africa, and a Venture Partner at the early-stage deep tech fund, Spacewalk.</w:t>
      </w:r>
    </w:p>
    <w:p w14:paraId="42A1F663" w14:textId="452A8B80" w:rsidR="00F21143" w:rsidRPr="006422A7" w:rsidRDefault="00F21143" w:rsidP="00F21143">
      <w:pPr>
        <w:overflowPunct w:val="0"/>
        <w:autoSpaceDE w:val="0"/>
        <w:autoSpaceDN w:val="0"/>
        <w:adjustRightInd w:val="0"/>
        <w:spacing w:line="240" w:lineRule="auto"/>
        <w:jc w:val="both"/>
        <w:textAlignment w:val="baseline"/>
        <w:rPr>
          <w:rFonts w:ascii="Arial" w:hAnsi="Arial"/>
        </w:rPr>
      </w:pPr>
      <w:r w:rsidRPr="00F21143">
        <w:rPr>
          <w:rFonts w:ascii="Arial" w:hAnsi="Arial"/>
        </w:rPr>
        <w:t>He started his career in strategy consulting and holds degrees from the University of Oxford and Kellogg School of Management.</w:t>
      </w:r>
    </w:p>
    <w:p w14:paraId="7113A77D" w14:textId="77777777" w:rsidR="00356E10" w:rsidRPr="006422A7" w:rsidRDefault="00356E10" w:rsidP="007265D2">
      <w:pPr>
        <w:overflowPunct w:val="0"/>
        <w:autoSpaceDE w:val="0"/>
        <w:autoSpaceDN w:val="0"/>
        <w:adjustRightInd w:val="0"/>
        <w:spacing w:line="240" w:lineRule="auto"/>
        <w:textAlignment w:val="baseline"/>
        <w:rPr>
          <w:rFonts w:ascii="Arial" w:hAnsi="Arial"/>
        </w:rPr>
      </w:pPr>
    </w:p>
    <w:p w14:paraId="35B17370" w14:textId="7666CFDD" w:rsidR="008B7337" w:rsidRDefault="001C712B" w:rsidP="00356E10">
      <w:pPr>
        <w:overflowPunct w:val="0"/>
        <w:autoSpaceDE w:val="0"/>
        <w:autoSpaceDN w:val="0"/>
        <w:adjustRightInd w:val="0"/>
        <w:spacing w:after="120" w:line="240" w:lineRule="auto"/>
        <w:textAlignment w:val="baseline"/>
        <w:rPr>
          <w:rFonts w:ascii="Arial" w:hAnsi="Arial"/>
          <w:b/>
          <w:bCs/>
        </w:rPr>
      </w:pPr>
      <w:r>
        <w:rPr>
          <w:rFonts w:ascii="Arial" w:hAnsi="Arial"/>
          <w:b/>
          <w:bCs/>
        </w:rPr>
        <w:t>Nat Sloane – Non-Executive Director</w:t>
      </w:r>
    </w:p>
    <w:p w14:paraId="2AE47F89" w14:textId="77777777" w:rsidR="001C712B" w:rsidRPr="001C712B" w:rsidRDefault="001C712B" w:rsidP="001C712B">
      <w:pPr>
        <w:overflowPunct w:val="0"/>
        <w:autoSpaceDE w:val="0"/>
        <w:autoSpaceDN w:val="0"/>
        <w:adjustRightInd w:val="0"/>
        <w:spacing w:line="240" w:lineRule="auto"/>
        <w:jc w:val="both"/>
        <w:textAlignment w:val="baseline"/>
        <w:rPr>
          <w:rFonts w:ascii="Arial" w:hAnsi="Arial"/>
        </w:rPr>
      </w:pPr>
      <w:r w:rsidRPr="001C712B">
        <w:rPr>
          <w:rFonts w:ascii="Arial" w:hAnsi="Arial"/>
        </w:rPr>
        <w:t>Nat worked in the private sector as an entrepreneur, consultant and venture capitalist. He remains an active investor in alternative assets.</w:t>
      </w:r>
    </w:p>
    <w:p w14:paraId="1C8AB6C8" w14:textId="77777777" w:rsidR="001C712B" w:rsidRDefault="001C712B" w:rsidP="001C712B">
      <w:pPr>
        <w:overflowPunct w:val="0"/>
        <w:autoSpaceDE w:val="0"/>
        <w:autoSpaceDN w:val="0"/>
        <w:adjustRightInd w:val="0"/>
        <w:spacing w:line="240" w:lineRule="auto"/>
        <w:jc w:val="both"/>
        <w:textAlignment w:val="baseline"/>
        <w:rPr>
          <w:rFonts w:ascii="Arial" w:hAnsi="Arial"/>
        </w:rPr>
      </w:pPr>
    </w:p>
    <w:p w14:paraId="73A66507" w14:textId="5D0FB37C" w:rsidR="008B7337" w:rsidRDefault="001C712B" w:rsidP="008948C8">
      <w:pPr>
        <w:overflowPunct w:val="0"/>
        <w:autoSpaceDE w:val="0"/>
        <w:autoSpaceDN w:val="0"/>
        <w:adjustRightInd w:val="0"/>
        <w:spacing w:line="240" w:lineRule="auto"/>
        <w:jc w:val="both"/>
        <w:textAlignment w:val="baseline"/>
        <w:rPr>
          <w:rFonts w:ascii="Arial" w:hAnsi="Arial"/>
        </w:rPr>
      </w:pPr>
      <w:r w:rsidRPr="001C712B">
        <w:rPr>
          <w:rFonts w:ascii="Arial" w:hAnsi="Arial"/>
        </w:rPr>
        <w:t xml:space="preserve">Since 2002, Nat has been active in the social impact market. He co-founded Impetus Trust, the first UK venture philanthropy trust fund. He was a founding trustee of the Education Endowment Foundation and chaired the finance </w:t>
      </w:r>
      <w:r w:rsidRPr="001C712B">
        <w:rPr>
          <w:rFonts w:ascii="Arial" w:hAnsi="Arial"/>
        </w:rPr>
        <w:lastRenderedPageBreak/>
        <w:t>and endowment committee. He has been the founding Chair of Social and Sustainable Capital, one of the largest social impact investing funds in the UK. Nat chaired the National Lottery Community Fund in England.</w:t>
      </w:r>
    </w:p>
    <w:p w14:paraId="7F48E19D" w14:textId="33DFD4AD" w:rsidR="008B6519" w:rsidRPr="006422A7" w:rsidRDefault="008B6519" w:rsidP="007265D2">
      <w:pPr>
        <w:overflowPunct w:val="0"/>
        <w:autoSpaceDE w:val="0"/>
        <w:autoSpaceDN w:val="0"/>
        <w:adjustRightInd w:val="0"/>
        <w:spacing w:line="240" w:lineRule="auto"/>
        <w:textAlignment w:val="baseline"/>
        <w:rPr>
          <w:rFonts w:ascii="Arial" w:hAnsi="Arial"/>
        </w:rPr>
      </w:pPr>
    </w:p>
    <w:p w14:paraId="254232C8" w14:textId="6CB1AB66" w:rsidR="008B7337" w:rsidRDefault="000F2B8F" w:rsidP="00356E10">
      <w:pPr>
        <w:overflowPunct w:val="0"/>
        <w:autoSpaceDE w:val="0"/>
        <w:autoSpaceDN w:val="0"/>
        <w:adjustRightInd w:val="0"/>
        <w:spacing w:after="120" w:line="240" w:lineRule="auto"/>
        <w:textAlignment w:val="baseline"/>
        <w:rPr>
          <w:rFonts w:ascii="Arial" w:hAnsi="Arial"/>
          <w:b/>
          <w:bCs/>
        </w:rPr>
      </w:pPr>
      <w:r>
        <w:rPr>
          <w:rFonts w:ascii="Arial" w:hAnsi="Arial"/>
          <w:b/>
          <w:bCs/>
        </w:rPr>
        <w:t>Matthew Elderfield – Non-Executive Director</w:t>
      </w:r>
    </w:p>
    <w:p w14:paraId="2FFAFA8E" w14:textId="620051F5" w:rsidR="008948C8" w:rsidRPr="008948C8" w:rsidRDefault="008948C8" w:rsidP="008948C8">
      <w:pPr>
        <w:overflowPunct w:val="0"/>
        <w:autoSpaceDE w:val="0"/>
        <w:autoSpaceDN w:val="0"/>
        <w:adjustRightInd w:val="0"/>
        <w:spacing w:line="240" w:lineRule="auto"/>
        <w:jc w:val="both"/>
        <w:textAlignment w:val="baseline"/>
        <w:rPr>
          <w:rFonts w:ascii="Arial" w:hAnsi="Arial"/>
        </w:rPr>
      </w:pPr>
      <w:r w:rsidRPr="008948C8">
        <w:rPr>
          <w:rFonts w:ascii="Arial" w:hAnsi="Arial"/>
        </w:rPr>
        <w:t>Matthew has worked as a senior banker and financial regulator in the UK, EU and Bermuda.</w:t>
      </w:r>
    </w:p>
    <w:p w14:paraId="25CBB774" w14:textId="77777777" w:rsidR="008948C8" w:rsidRDefault="008948C8" w:rsidP="008948C8">
      <w:pPr>
        <w:overflowPunct w:val="0"/>
        <w:autoSpaceDE w:val="0"/>
        <w:autoSpaceDN w:val="0"/>
        <w:adjustRightInd w:val="0"/>
        <w:spacing w:line="240" w:lineRule="auto"/>
        <w:jc w:val="both"/>
        <w:textAlignment w:val="baseline"/>
        <w:rPr>
          <w:rFonts w:ascii="Arial" w:hAnsi="Arial"/>
        </w:rPr>
      </w:pPr>
    </w:p>
    <w:p w14:paraId="4A6AE2A4" w14:textId="78B729CE" w:rsidR="008948C8" w:rsidRPr="008948C8" w:rsidRDefault="008948C8" w:rsidP="008948C8">
      <w:pPr>
        <w:overflowPunct w:val="0"/>
        <w:autoSpaceDE w:val="0"/>
        <w:autoSpaceDN w:val="0"/>
        <w:adjustRightInd w:val="0"/>
        <w:spacing w:line="240" w:lineRule="auto"/>
        <w:jc w:val="both"/>
        <w:textAlignment w:val="baseline"/>
        <w:rPr>
          <w:rFonts w:ascii="Arial" w:hAnsi="Arial"/>
        </w:rPr>
      </w:pPr>
      <w:r w:rsidRPr="008948C8">
        <w:rPr>
          <w:rFonts w:ascii="Arial" w:hAnsi="Arial"/>
        </w:rPr>
        <w:t>Matthew was a member of the Management Board of Nordea between 2016 and 2022, most recently serving as Chief Risk Officer. Previously he was at Lloyds Banking Group in the role of Group Director, Conduct, Compliance and Operational Risk.</w:t>
      </w:r>
    </w:p>
    <w:p w14:paraId="09D03CF8" w14:textId="77777777" w:rsidR="008948C8" w:rsidRDefault="008948C8" w:rsidP="008948C8">
      <w:pPr>
        <w:overflowPunct w:val="0"/>
        <w:autoSpaceDE w:val="0"/>
        <w:autoSpaceDN w:val="0"/>
        <w:adjustRightInd w:val="0"/>
        <w:spacing w:line="240" w:lineRule="auto"/>
        <w:jc w:val="both"/>
        <w:textAlignment w:val="baseline"/>
        <w:rPr>
          <w:rFonts w:ascii="Arial" w:hAnsi="Arial"/>
        </w:rPr>
      </w:pPr>
    </w:p>
    <w:p w14:paraId="01858B3E" w14:textId="13499B1C" w:rsidR="008948C8" w:rsidRPr="008948C8" w:rsidRDefault="008948C8" w:rsidP="008948C8">
      <w:pPr>
        <w:overflowPunct w:val="0"/>
        <w:autoSpaceDE w:val="0"/>
        <w:autoSpaceDN w:val="0"/>
        <w:adjustRightInd w:val="0"/>
        <w:spacing w:line="240" w:lineRule="auto"/>
        <w:jc w:val="both"/>
        <w:textAlignment w:val="baseline"/>
        <w:rPr>
          <w:rFonts w:ascii="Arial" w:hAnsi="Arial"/>
        </w:rPr>
      </w:pPr>
      <w:r w:rsidRPr="008948C8">
        <w:rPr>
          <w:rFonts w:ascii="Arial" w:hAnsi="Arial"/>
        </w:rPr>
        <w:t>Matthew was Deputy Governor and Member of the Commission (Board) of the Central Bank of Ireland between 2010 and 2013. During this period, he served as Deputy Chairman of the European Banking Authority (EBA). He was also a member of the Managing Board of the European Insurance and Occupational Pensions Authority (EIOPA) and the Board of Supervisors of the European Securities Markets Authority (ESMA).</w:t>
      </w:r>
    </w:p>
    <w:p w14:paraId="178E5B13" w14:textId="77777777" w:rsidR="008948C8" w:rsidRDefault="008948C8" w:rsidP="008948C8">
      <w:pPr>
        <w:overflowPunct w:val="0"/>
        <w:autoSpaceDE w:val="0"/>
        <w:autoSpaceDN w:val="0"/>
        <w:adjustRightInd w:val="0"/>
        <w:spacing w:line="240" w:lineRule="auto"/>
        <w:jc w:val="both"/>
        <w:textAlignment w:val="baseline"/>
        <w:rPr>
          <w:rFonts w:ascii="Arial" w:hAnsi="Arial"/>
        </w:rPr>
      </w:pPr>
    </w:p>
    <w:p w14:paraId="7B3B7EF2" w14:textId="14BFA7A0" w:rsidR="008948C8" w:rsidRPr="008948C8" w:rsidRDefault="008948C8" w:rsidP="008948C8">
      <w:pPr>
        <w:overflowPunct w:val="0"/>
        <w:autoSpaceDE w:val="0"/>
        <w:autoSpaceDN w:val="0"/>
        <w:adjustRightInd w:val="0"/>
        <w:spacing w:line="240" w:lineRule="auto"/>
        <w:jc w:val="both"/>
        <w:textAlignment w:val="baseline"/>
        <w:rPr>
          <w:rFonts w:ascii="Arial" w:hAnsi="Arial"/>
        </w:rPr>
      </w:pPr>
      <w:r w:rsidRPr="008948C8">
        <w:rPr>
          <w:rFonts w:ascii="Arial" w:hAnsi="Arial"/>
        </w:rPr>
        <w:t>Matthew was also Chief Executive of the Bermuda Monetary Authority and worked at the UK Financial Services Authority in a number of roles involving banking supervision, markets policy and exchange and clearing house supervision.</w:t>
      </w:r>
    </w:p>
    <w:p w14:paraId="3481F750" w14:textId="77777777" w:rsidR="008948C8" w:rsidRPr="008948C8" w:rsidRDefault="008948C8" w:rsidP="008948C8">
      <w:pPr>
        <w:overflowPunct w:val="0"/>
        <w:autoSpaceDE w:val="0"/>
        <w:autoSpaceDN w:val="0"/>
        <w:adjustRightInd w:val="0"/>
        <w:spacing w:line="240" w:lineRule="auto"/>
        <w:jc w:val="both"/>
        <w:textAlignment w:val="baseline"/>
        <w:rPr>
          <w:rFonts w:ascii="Arial" w:hAnsi="Arial"/>
        </w:rPr>
      </w:pPr>
      <w:r w:rsidRPr="008948C8">
        <w:rPr>
          <w:rFonts w:ascii="Arial" w:hAnsi="Arial"/>
        </w:rPr>
        <w:t>He is a graduate of Georgetown University’s School of Foreign Service and Cambridge University.</w:t>
      </w:r>
    </w:p>
    <w:p w14:paraId="418413E8" w14:textId="77777777" w:rsidR="008B7337" w:rsidRPr="006422A7" w:rsidRDefault="008B7337" w:rsidP="007265D2">
      <w:pPr>
        <w:overflowPunct w:val="0"/>
        <w:autoSpaceDE w:val="0"/>
        <w:autoSpaceDN w:val="0"/>
        <w:adjustRightInd w:val="0"/>
        <w:spacing w:line="240" w:lineRule="auto"/>
        <w:textAlignment w:val="baseline"/>
        <w:rPr>
          <w:rFonts w:ascii="Arial" w:hAnsi="Arial"/>
        </w:rPr>
      </w:pPr>
    </w:p>
    <w:p w14:paraId="02FC7996" w14:textId="0B5E4CAE" w:rsidR="008948C8" w:rsidRPr="000301EB" w:rsidRDefault="008948C8" w:rsidP="00356E10">
      <w:pPr>
        <w:overflowPunct w:val="0"/>
        <w:autoSpaceDE w:val="0"/>
        <w:autoSpaceDN w:val="0"/>
        <w:adjustRightInd w:val="0"/>
        <w:spacing w:after="120" w:line="240" w:lineRule="auto"/>
        <w:textAlignment w:val="baseline"/>
        <w:rPr>
          <w:rFonts w:ascii="Arial" w:hAnsi="Arial"/>
          <w:b/>
          <w:bCs/>
        </w:rPr>
      </w:pPr>
      <w:r w:rsidRPr="000301EB">
        <w:rPr>
          <w:rFonts w:ascii="Arial" w:hAnsi="Arial"/>
          <w:b/>
          <w:bCs/>
        </w:rPr>
        <w:t xml:space="preserve">Eilish Jamieson – Non-Executive Director </w:t>
      </w:r>
    </w:p>
    <w:p w14:paraId="616489E0" w14:textId="77777777" w:rsidR="00662FD2" w:rsidRPr="00662FD2" w:rsidRDefault="00662FD2" w:rsidP="00662FD2">
      <w:pPr>
        <w:overflowPunct w:val="0"/>
        <w:autoSpaceDE w:val="0"/>
        <w:autoSpaceDN w:val="0"/>
        <w:adjustRightInd w:val="0"/>
        <w:spacing w:line="240" w:lineRule="auto"/>
        <w:jc w:val="both"/>
        <w:textAlignment w:val="baseline"/>
        <w:rPr>
          <w:rFonts w:ascii="Arial" w:hAnsi="Arial"/>
        </w:rPr>
      </w:pPr>
      <w:r w:rsidRPr="00662FD2">
        <w:rPr>
          <w:rFonts w:ascii="Arial" w:hAnsi="Arial"/>
        </w:rPr>
        <w:t>Eilish is an experienced Audit and Finance Professional with over 25 years’ experience working in financial services, and more recently serving on public and private sector boards.</w:t>
      </w:r>
    </w:p>
    <w:p w14:paraId="78E3115F" w14:textId="77777777" w:rsidR="00662FD2" w:rsidRDefault="00662FD2" w:rsidP="00662FD2">
      <w:pPr>
        <w:overflowPunct w:val="0"/>
        <w:autoSpaceDE w:val="0"/>
        <w:autoSpaceDN w:val="0"/>
        <w:adjustRightInd w:val="0"/>
        <w:spacing w:line="240" w:lineRule="auto"/>
        <w:jc w:val="both"/>
        <w:textAlignment w:val="baseline"/>
        <w:rPr>
          <w:rFonts w:ascii="Arial" w:hAnsi="Arial"/>
        </w:rPr>
      </w:pPr>
    </w:p>
    <w:p w14:paraId="690A36CE" w14:textId="35BB98D6" w:rsidR="00662FD2" w:rsidRPr="00662FD2" w:rsidRDefault="00662FD2" w:rsidP="00662FD2">
      <w:pPr>
        <w:overflowPunct w:val="0"/>
        <w:autoSpaceDE w:val="0"/>
        <w:autoSpaceDN w:val="0"/>
        <w:adjustRightInd w:val="0"/>
        <w:spacing w:line="240" w:lineRule="auto"/>
        <w:jc w:val="both"/>
        <w:textAlignment w:val="baseline"/>
        <w:rPr>
          <w:rFonts w:ascii="Arial" w:hAnsi="Arial"/>
        </w:rPr>
      </w:pPr>
      <w:r w:rsidRPr="00662FD2">
        <w:rPr>
          <w:rFonts w:ascii="Arial" w:hAnsi="Arial"/>
        </w:rPr>
        <w:t>Until 2016, Eilish was Head of Audit at Goldman Sachs where she led strategic initiatives around internal control, risk management, change and transformation, culture and governance for over a decade. Amongst other roles, she has been a Non-Executive Director at the Financial Reporting Council, the UK regulatory body responsible for promoting high quality corporate governance and reporting, and a Non-Executive Director at Sport England, a non-departmental public body responsibility for developing grassroots sports. She is a trustee at Plan International UK, a leading charity working with children in the UK and developing countries and is the founder of a leadership development practice working with social impact and female founded businesses.</w:t>
      </w:r>
    </w:p>
    <w:p w14:paraId="39C4FA82" w14:textId="77777777" w:rsidR="00662FD2" w:rsidRDefault="00662FD2" w:rsidP="00662FD2">
      <w:pPr>
        <w:overflowPunct w:val="0"/>
        <w:autoSpaceDE w:val="0"/>
        <w:autoSpaceDN w:val="0"/>
        <w:adjustRightInd w:val="0"/>
        <w:spacing w:line="240" w:lineRule="auto"/>
        <w:jc w:val="both"/>
        <w:textAlignment w:val="baseline"/>
        <w:rPr>
          <w:rFonts w:ascii="Arial" w:hAnsi="Arial"/>
        </w:rPr>
      </w:pPr>
    </w:p>
    <w:p w14:paraId="47E57445" w14:textId="3A1E5C3A" w:rsidR="00662FD2" w:rsidRPr="00662FD2" w:rsidRDefault="00662FD2" w:rsidP="00662FD2">
      <w:pPr>
        <w:overflowPunct w:val="0"/>
        <w:autoSpaceDE w:val="0"/>
        <w:autoSpaceDN w:val="0"/>
        <w:adjustRightInd w:val="0"/>
        <w:spacing w:line="240" w:lineRule="auto"/>
        <w:jc w:val="both"/>
        <w:textAlignment w:val="baseline"/>
        <w:rPr>
          <w:rFonts w:ascii="Arial" w:hAnsi="Arial"/>
        </w:rPr>
      </w:pPr>
      <w:r w:rsidRPr="00662FD2">
        <w:rPr>
          <w:rFonts w:ascii="Arial" w:hAnsi="Arial"/>
        </w:rPr>
        <w:t>Eilish started her career at KPMG, undertaking a variety of roles across their financial services and consulting businesses, before moving to their Australian practice where she led an international client portfolio which included investment management, pension, and insurance companies.</w:t>
      </w:r>
    </w:p>
    <w:p w14:paraId="0DCF4992" w14:textId="77777777" w:rsidR="00662FD2" w:rsidRDefault="00662FD2" w:rsidP="00662FD2">
      <w:pPr>
        <w:overflowPunct w:val="0"/>
        <w:autoSpaceDE w:val="0"/>
        <w:autoSpaceDN w:val="0"/>
        <w:adjustRightInd w:val="0"/>
        <w:spacing w:line="240" w:lineRule="auto"/>
        <w:jc w:val="both"/>
        <w:textAlignment w:val="baseline"/>
        <w:rPr>
          <w:rFonts w:ascii="Arial" w:hAnsi="Arial"/>
        </w:rPr>
      </w:pPr>
    </w:p>
    <w:p w14:paraId="48AA6970" w14:textId="54CB141C" w:rsidR="00662FD2" w:rsidRPr="00662FD2" w:rsidRDefault="00662FD2" w:rsidP="00662FD2">
      <w:pPr>
        <w:overflowPunct w:val="0"/>
        <w:autoSpaceDE w:val="0"/>
        <w:autoSpaceDN w:val="0"/>
        <w:adjustRightInd w:val="0"/>
        <w:spacing w:line="240" w:lineRule="auto"/>
        <w:jc w:val="both"/>
        <w:textAlignment w:val="baseline"/>
        <w:rPr>
          <w:rFonts w:ascii="Arial" w:hAnsi="Arial"/>
        </w:rPr>
      </w:pPr>
      <w:r w:rsidRPr="00662FD2">
        <w:rPr>
          <w:rFonts w:ascii="Arial" w:hAnsi="Arial"/>
        </w:rPr>
        <w:t>Eilish holds a BSc in Accounting and Finance from the London School of Economics and Political Science, and a postgraduate degree in Organisational Psychology from the University of London.</w:t>
      </w:r>
    </w:p>
    <w:p w14:paraId="714203A1" w14:textId="77777777" w:rsidR="00662FD2" w:rsidRDefault="00662FD2" w:rsidP="00662FD2">
      <w:pPr>
        <w:overflowPunct w:val="0"/>
        <w:autoSpaceDE w:val="0"/>
        <w:autoSpaceDN w:val="0"/>
        <w:adjustRightInd w:val="0"/>
        <w:spacing w:line="240" w:lineRule="auto"/>
        <w:jc w:val="both"/>
        <w:textAlignment w:val="baseline"/>
        <w:rPr>
          <w:rFonts w:ascii="Arial" w:hAnsi="Arial"/>
        </w:rPr>
      </w:pPr>
    </w:p>
    <w:p w14:paraId="4C9BB684" w14:textId="64461FE2" w:rsidR="00662FD2" w:rsidRDefault="00662FD2" w:rsidP="00662FD2">
      <w:pPr>
        <w:overflowPunct w:val="0"/>
        <w:autoSpaceDE w:val="0"/>
        <w:autoSpaceDN w:val="0"/>
        <w:adjustRightInd w:val="0"/>
        <w:spacing w:line="240" w:lineRule="auto"/>
        <w:jc w:val="both"/>
        <w:textAlignment w:val="baseline"/>
        <w:rPr>
          <w:rFonts w:ascii="Arial" w:hAnsi="Arial"/>
        </w:rPr>
      </w:pPr>
      <w:r w:rsidRPr="00662FD2">
        <w:rPr>
          <w:rFonts w:ascii="Arial" w:hAnsi="Arial"/>
        </w:rPr>
        <w:t>She is a qualified chartered accountant and member of the Institute of Chartered Accountants in England and Wales.</w:t>
      </w:r>
    </w:p>
    <w:p w14:paraId="5F9D7C90" w14:textId="77777777" w:rsidR="00662FD2" w:rsidRDefault="00662FD2" w:rsidP="00662FD2">
      <w:pPr>
        <w:overflowPunct w:val="0"/>
        <w:autoSpaceDE w:val="0"/>
        <w:autoSpaceDN w:val="0"/>
        <w:adjustRightInd w:val="0"/>
        <w:spacing w:line="240" w:lineRule="auto"/>
        <w:jc w:val="both"/>
        <w:textAlignment w:val="baseline"/>
        <w:rPr>
          <w:rFonts w:ascii="Arial" w:hAnsi="Arial"/>
        </w:rPr>
      </w:pPr>
    </w:p>
    <w:p w14:paraId="6F378F09" w14:textId="229FB5FD" w:rsidR="00662FD2" w:rsidRDefault="00662FD2" w:rsidP="00356E10">
      <w:pPr>
        <w:overflowPunct w:val="0"/>
        <w:autoSpaceDE w:val="0"/>
        <w:autoSpaceDN w:val="0"/>
        <w:adjustRightInd w:val="0"/>
        <w:spacing w:after="120" w:line="240" w:lineRule="auto"/>
        <w:textAlignment w:val="baseline"/>
        <w:rPr>
          <w:rFonts w:ascii="Arial" w:hAnsi="Arial"/>
          <w:b/>
          <w:bCs/>
        </w:rPr>
      </w:pPr>
      <w:r>
        <w:rPr>
          <w:rFonts w:ascii="Arial" w:hAnsi="Arial"/>
          <w:b/>
          <w:bCs/>
        </w:rPr>
        <w:t xml:space="preserve">Robert Razzell – Shareholder Representative Director </w:t>
      </w:r>
    </w:p>
    <w:p w14:paraId="1C3C6763" w14:textId="77777777" w:rsidR="001C4F12" w:rsidRPr="001C4F12" w:rsidRDefault="001C4F12" w:rsidP="001C4F12">
      <w:pPr>
        <w:overflowPunct w:val="0"/>
        <w:autoSpaceDE w:val="0"/>
        <w:autoSpaceDN w:val="0"/>
        <w:adjustRightInd w:val="0"/>
        <w:spacing w:line="240" w:lineRule="auto"/>
        <w:jc w:val="both"/>
        <w:textAlignment w:val="baseline"/>
        <w:rPr>
          <w:rFonts w:ascii="Arial" w:hAnsi="Arial"/>
        </w:rPr>
      </w:pPr>
      <w:r w:rsidRPr="001C4F12">
        <w:rPr>
          <w:rFonts w:ascii="Arial" w:hAnsi="Arial"/>
        </w:rPr>
        <w:t>Robert Razzell joined UK Government Investments (UKGI) as Chief Financial Officer in September 2016. Between 2018 and 2024 he served on the board of the Government Property Agency.</w:t>
      </w:r>
    </w:p>
    <w:p w14:paraId="66201C63" w14:textId="77777777" w:rsidR="001C4F12" w:rsidRDefault="001C4F12" w:rsidP="001C4F12">
      <w:pPr>
        <w:overflowPunct w:val="0"/>
        <w:autoSpaceDE w:val="0"/>
        <w:autoSpaceDN w:val="0"/>
        <w:adjustRightInd w:val="0"/>
        <w:spacing w:line="240" w:lineRule="auto"/>
        <w:jc w:val="both"/>
        <w:textAlignment w:val="baseline"/>
        <w:rPr>
          <w:rFonts w:ascii="Arial" w:hAnsi="Arial"/>
        </w:rPr>
      </w:pPr>
    </w:p>
    <w:p w14:paraId="5457061F" w14:textId="2992219C" w:rsidR="001C4F12" w:rsidRPr="001C4F12" w:rsidRDefault="001C4F12" w:rsidP="001C4F12">
      <w:pPr>
        <w:overflowPunct w:val="0"/>
        <w:autoSpaceDE w:val="0"/>
        <w:autoSpaceDN w:val="0"/>
        <w:adjustRightInd w:val="0"/>
        <w:spacing w:line="240" w:lineRule="auto"/>
        <w:jc w:val="both"/>
        <w:textAlignment w:val="baseline"/>
        <w:rPr>
          <w:rFonts w:ascii="Arial" w:hAnsi="Arial"/>
        </w:rPr>
      </w:pPr>
      <w:r w:rsidRPr="001C4F12">
        <w:rPr>
          <w:rFonts w:ascii="Arial" w:hAnsi="Arial"/>
        </w:rPr>
        <w:t>Prior to joining UKGI, Robert was head of finance at the London Legacy Development Corporation, the body responsible for the Olympic Park and its legacy, having previously been head of finance at the Olympic Delivery Authority, the entity responsible for delivery of the venues and infrastructure for the London 2012 Olympics.</w:t>
      </w:r>
    </w:p>
    <w:p w14:paraId="58471D4F" w14:textId="77777777" w:rsidR="001C4F12" w:rsidRDefault="001C4F12" w:rsidP="001C4F12">
      <w:pPr>
        <w:overflowPunct w:val="0"/>
        <w:autoSpaceDE w:val="0"/>
        <w:autoSpaceDN w:val="0"/>
        <w:adjustRightInd w:val="0"/>
        <w:spacing w:line="240" w:lineRule="auto"/>
        <w:jc w:val="both"/>
        <w:textAlignment w:val="baseline"/>
        <w:rPr>
          <w:rFonts w:ascii="Arial" w:hAnsi="Arial"/>
        </w:rPr>
      </w:pPr>
    </w:p>
    <w:p w14:paraId="2992C634" w14:textId="78EDDD13" w:rsidR="001C4F12" w:rsidRPr="001C4F12" w:rsidRDefault="001C4F12" w:rsidP="001C4F12">
      <w:pPr>
        <w:overflowPunct w:val="0"/>
        <w:autoSpaceDE w:val="0"/>
        <w:autoSpaceDN w:val="0"/>
        <w:adjustRightInd w:val="0"/>
        <w:spacing w:line="240" w:lineRule="auto"/>
        <w:jc w:val="both"/>
        <w:textAlignment w:val="baseline"/>
        <w:rPr>
          <w:rFonts w:ascii="Arial" w:hAnsi="Arial"/>
        </w:rPr>
      </w:pPr>
      <w:r w:rsidRPr="001C4F12">
        <w:rPr>
          <w:rFonts w:ascii="Arial" w:hAnsi="Arial"/>
        </w:rPr>
        <w:t>Robert's career has encompassed roles in the public and the private sector. He qualified as an accountant at PwC.</w:t>
      </w:r>
    </w:p>
    <w:p w14:paraId="46DB88BB" w14:textId="77777777" w:rsidR="00662FD2" w:rsidRPr="00662FD2" w:rsidRDefault="00662FD2" w:rsidP="00662FD2">
      <w:pPr>
        <w:overflowPunct w:val="0"/>
        <w:autoSpaceDE w:val="0"/>
        <w:autoSpaceDN w:val="0"/>
        <w:adjustRightInd w:val="0"/>
        <w:spacing w:line="240" w:lineRule="auto"/>
        <w:jc w:val="both"/>
        <w:textAlignment w:val="baseline"/>
        <w:rPr>
          <w:rFonts w:ascii="Arial" w:hAnsi="Arial"/>
        </w:rPr>
      </w:pPr>
    </w:p>
    <w:p w14:paraId="64F229C6" w14:textId="77777777" w:rsidR="00662FD2" w:rsidRPr="00662FD2" w:rsidRDefault="00662FD2" w:rsidP="008948C8">
      <w:pPr>
        <w:overflowPunct w:val="0"/>
        <w:autoSpaceDE w:val="0"/>
        <w:autoSpaceDN w:val="0"/>
        <w:adjustRightInd w:val="0"/>
        <w:spacing w:line="240" w:lineRule="auto"/>
        <w:textAlignment w:val="baseline"/>
        <w:rPr>
          <w:rFonts w:ascii="Arial" w:hAnsi="Arial"/>
        </w:rPr>
      </w:pPr>
    </w:p>
    <w:p w14:paraId="71580508" w14:textId="091E2821" w:rsidR="008B7337" w:rsidRPr="00662FD2" w:rsidRDefault="008B7337" w:rsidP="007265D2">
      <w:pPr>
        <w:overflowPunct w:val="0"/>
        <w:autoSpaceDE w:val="0"/>
        <w:autoSpaceDN w:val="0"/>
        <w:adjustRightInd w:val="0"/>
        <w:spacing w:line="240" w:lineRule="auto"/>
        <w:textAlignment w:val="baseline"/>
        <w:rPr>
          <w:rFonts w:ascii="Arial" w:hAnsi="Arial"/>
        </w:rPr>
      </w:pPr>
      <w:r w:rsidRPr="00662FD2">
        <w:rPr>
          <w:rFonts w:ascii="Arial" w:hAnsi="Arial"/>
        </w:rPr>
        <w:t xml:space="preserve"> </w:t>
      </w:r>
      <w:r w:rsidRPr="00662FD2">
        <w:rPr>
          <w:rFonts w:ascii="Arial" w:hAnsi="Arial"/>
        </w:rPr>
        <w:br w:type="page"/>
      </w:r>
    </w:p>
    <w:p w14:paraId="4E786E1E" w14:textId="19827B38" w:rsidR="00CC6DCE" w:rsidRDefault="00CC6DCE" w:rsidP="00CC6DCE">
      <w:pPr>
        <w:pStyle w:val="Heading2"/>
        <w:rPr>
          <w:color w:val="181818" w:themeColor="text2" w:themeShade="BF"/>
          <w:sz w:val="20"/>
          <w:szCs w:val="20"/>
        </w:rPr>
      </w:pPr>
      <w:bookmarkStart w:id="12" w:name="_Toc124759803"/>
      <w:bookmarkEnd w:id="0"/>
      <w:r w:rsidRPr="00EA5E6D">
        <w:lastRenderedPageBreak/>
        <w:t>Appendix II</w:t>
      </w:r>
      <w:r>
        <w:t xml:space="preserve">: </w:t>
      </w:r>
      <w:r w:rsidRPr="0012416C">
        <w:t>The Seven Principles of Public Life</w:t>
      </w:r>
      <w:bookmarkEnd w:id="12"/>
    </w:p>
    <w:p w14:paraId="7D254F7C" w14:textId="77777777" w:rsidR="00CC6DCE" w:rsidRDefault="00CC6DCE" w:rsidP="00CC6DCE">
      <w:pPr>
        <w:rPr>
          <w:rFonts w:cstheme="minorHAnsi"/>
          <w:color w:val="181818" w:themeColor="text2" w:themeShade="BF"/>
        </w:rPr>
      </w:pPr>
    </w:p>
    <w:p w14:paraId="1B67390B" w14:textId="77777777" w:rsidR="00CC6DCE" w:rsidRPr="00482CD0" w:rsidRDefault="00CC6DCE" w:rsidP="00CC6DCE">
      <w:pPr>
        <w:rPr>
          <w:rFonts w:cstheme="minorHAnsi"/>
          <w:color w:val="181818" w:themeColor="text2" w:themeShade="BF"/>
        </w:rPr>
      </w:pPr>
      <w:r w:rsidRPr="00482CD0">
        <w:rPr>
          <w:rFonts w:cstheme="minorHAnsi"/>
          <w:color w:val="181818" w:themeColor="text2" w:themeShade="BF"/>
        </w:rPr>
        <w:t>Holders of public office are expected to adhere to and uphold the Seven Principles of Public Lif</w:t>
      </w:r>
      <w:r>
        <w:rPr>
          <w:rFonts w:cstheme="minorHAnsi"/>
          <w:color w:val="181818" w:themeColor="text2" w:themeShade="BF"/>
        </w:rPr>
        <w:t xml:space="preserve">e: </w:t>
      </w:r>
    </w:p>
    <w:p w14:paraId="62040B2C" w14:textId="77777777" w:rsidR="00CC6DCE" w:rsidRPr="00482CD0" w:rsidRDefault="00CC6DCE" w:rsidP="00CC6DCE">
      <w:pPr>
        <w:rPr>
          <w:rFonts w:cstheme="minorHAnsi"/>
          <w:color w:val="181818" w:themeColor="text2" w:themeShade="BF"/>
        </w:rPr>
      </w:pPr>
    </w:p>
    <w:p w14:paraId="502D8F52" w14:textId="77777777" w:rsidR="00CC6DCE" w:rsidRPr="00482CD0" w:rsidRDefault="00CC6DCE" w:rsidP="00CC6DCE">
      <w:pPr>
        <w:rPr>
          <w:rFonts w:cstheme="minorHAnsi"/>
          <w:color w:val="181818" w:themeColor="text2" w:themeShade="BF"/>
        </w:rPr>
      </w:pPr>
      <w:r w:rsidRPr="00482CD0">
        <w:rPr>
          <w:rFonts w:cstheme="minorHAnsi"/>
          <w:color w:val="181818" w:themeColor="text2" w:themeShade="BF"/>
        </w:rPr>
        <w:t>These are:</w:t>
      </w:r>
      <w:r w:rsidRPr="00482CD0">
        <w:rPr>
          <w:rFonts w:cstheme="minorHAnsi"/>
          <w:color w:val="181818" w:themeColor="text2" w:themeShade="BF"/>
        </w:rPr>
        <w:br/>
      </w:r>
    </w:p>
    <w:p w14:paraId="7EE00BAF" w14:textId="77777777" w:rsidR="00CC6DCE" w:rsidRPr="00482CD0"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SELFLESSNESS</w:t>
      </w:r>
      <w:r w:rsidRPr="00482CD0">
        <w:rPr>
          <w:rFonts w:cstheme="minorHAnsi"/>
          <w:color w:val="181818" w:themeColor="text2" w:themeShade="BF"/>
        </w:rPr>
        <w:t xml:space="preserve"> - Holders of public office should act solely in terms of the public interest. They should not do so in order to gain financial or other material benefits for themselves, their family or their </w:t>
      </w:r>
      <w:proofErr w:type="gramStart"/>
      <w:r w:rsidRPr="00482CD0">
        <w:rPr>
          <w:rFonts w:cstheme="minorHAnsi"/>
          <w:color w:val="181818" w:themeColor="text2" w:themeShade="BF"/>
        </w:rPr>
        <w:t>friends;</w:t>
      </w:r>
      <w:proofErr w:type="gramEnd"/>
    </w:p>
    <w:p w14:paraId="742D430A" w14:textId="77777777" w:rsidR="00CC6DCE" w:rsidRPr="00482CD0"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INTEGRITY</w:t>
      </w:r>
      <w:r w:rsidRPr="00482CD0">
        <w:rPr>
          <w:rFonts w:cstheme="minorHAnsi"/>
          <w:color w:val="181818" w:themeColor="text2" w:themeShade="BF"/>
        </w:rPr>
        <w:t xml:space="preserve"> - Holders of public office should not place themselves under any financial or other obligation to outside individuals or organisations that might seek to influence them in the performance of their official </w:t>
      </w:r>
      <w:proofErr w:type="gramStart"/>
      <w:r w:rsidRPr="00482CD0">
        <w:rPr>
          <w:rFonts w:cstheme="minorHAnsi"/>
          <w:color w:val="181818" w:themeColor="text2" w:themeShade="BF"/>
        </w:rPr>
        <w:t>duties;</w:t>
      </w:r>
      <w:proofErr w:type="gramEnd"/>
    </w:p>
    <w:p w14:paraId="0771CA40" w14:textId="77777777" w:rsidR="00CC6DCE" w:rsidRPr="00482CD0"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OBJECTIVITY</w:t>
      </w:r>
      <w:r w:rsidRPr="00482CD0">
        <w:rPr>
          <w:rFonts w:cstheme="minorHAnsi"/>
          <w:color w:val="181818" w:themeColor="text2" w:themeShade="BF"/>
        </w:rPr>
        <w:t xml:space="preserve"> - In carrying out public business, including making public appointments, awarding contracts, or recommending individuals for rewards and benefits, holders of public office should make choices on </w:t>
      </w:r>
      <w:proofErr w:type="gramStart"/>
      <w:r w:rsidRPr="00482CD0">
        <w:rPr>
          <w:rFonts w:cstheme="minorHAnsi"/>
          <w:color w:val="181818" w:themeColor="text2" w:themeShade="BF"/>
        </w:rPr>
        <w:t>merit;</w:t>
      </w:r>
      <w:proofErr w:type="gramEnd"/>
    </w:p>
    <w:p w14:paraId="3368B737" w14:textId="77777777" w:rsidR="00CC6DCE" w:rsidRPr="00482CD0"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ACCOUNTABILITY</w:t>
      </w:r>
      <w:r w:rsidRPr="00482CD0">
        <w:rPr>
          <w:rFonts w:cstheme="minorHAnsi"/>
          <w:color w:val="181818" w:themeColor="text2" w:themeShade="BF"/>
        </w:rPr>
        <w:t xml:space="preserve"> - Holders of public office are accountable for their decisions and actions to the public and must submit themselves to whatever scrutiny is appropriate to their </w:t>
      </w:r>
      <w:proofErr w:type="gramStart"/>
      <w:r w:rsidRPr="00482CD0">
        <w:rPr>
          <w:rFonts w:cstheme="minorHAnsi"/>
          <w:color w:val="181818" w:themeColor="text2" w:themeShade="BF"/>
        </w:rPr>
        <w:t>office;</w:t>
      </w:r>
      <w:proofErr w:type="gramEnd"/>
    </w:p>
    <w:p w14:paraId="53499B23" w14:textId="77777777" w:rsidR="00CC6DCE" w:rsidRPr="00482CD0"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OPENNESS</w:t>
      </w:r>
      <w:r w:rsidRPr="00482CD0">
        <w:rPr>
          <w:rFonts w:cstheme="minorHAnsi"/>
          <w:color w:val="181818" w:themeColor="text2" w:themeShade="BF"/>
        </w:rPr>
        <w:t xml:space="preserve"> - Holders of public office should be as open as possible about all the decisions and actions that they take. They should give reasons for their decisions and restrict information only when the wider public interest clearly </w:t>
      </w:r>
      <w:proofErr w:type="gramStart"/>
      <w:r w:rsidRPr="00482CD0">
        <w:rPr>
          <w:rFonts w:cstheme="minorHAnsi"/>
          <w:color w:val="181818" w:themeColor="text2" w:themeShade="BF"/>
        </w:rPr>
        <w:t>demands;</w:t>
      </w:r>
      <w:proofErr w:type="gramEnd"/>
    </w:p>
    <w:p w14:paraId="49D1659B" w14:textId="77777777" w:rsidR="00CC6DCE" w:rsidRPr="00482CD0"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HONESTY</w:t>
      </w:r>
      <w:r w:rsidRPr="00482CD0">
        <w:rPr>
          <w:rFonts w:cstheme="minorHAnsi"/>
          <w:color w:val="181818" w:themeColor="text2" w:themeShade="BF"/>
        </w:rPr>
        <w:t xml:space="preserve"> - Holders of public office have a duty to declare any private interests relating to their public duties and to take steps to resolve any conflicts arising in a way that protects the public </w:t>
      </w:r>
      <w:proofErr w:type="gramStart"/>
      <w:r w:rsidRPr="00482CD0">
        <w:rPr>
          <w:rFonts w:cstheme="minorHAnsi"/>
          <w:color w:val="181818" w:themeColor="text2" w:themeShade="BF"/>
        </w:rPr>
        <w:t>interest;</w:t>
      </w:r>
      <w:proofErr w:type="gramEnd"/>
    </w:p>
    <w:p w14:paraId="0133C7A0" w14:textId="77777777" w:rsidR="00CC6DCE" w:rsidRPr="00567189" w:rsidRDefault="00CC6DCE" w:rsidP="00CC6DCE">
      <w:pPr>
        <w:numPr>
          <w:ilvl w:val="0"/>
          <w:numId w:val="43"/>
        </w:numPr>
        <w:spacing w:after="120" w:line="240" w:lineRule="auto"/>
        <w:rPr>
          <w:rFonts w:cstheme="minorHAnsi"/>
          <w:color w:val="181818" w:themeColor="text2" w:themeShade="BF"/>
        </w:rPr>
      </w:pPr>
      <w:r w:rsidRPr="00482CD0">
        <w:rPr>
          <w:rFonts w:cstheme="minorHAnsi"/>
          <w:b/>
          <w:bCs/>
          <w:color w:val="181818" w:themeColor="text2" w:themeShade="BF"/>
        </w:rPr>
        <w:t>LEADERSHIP </w:t>
      </w:r>
      <w:r w:rsidRPr="00482CD0">
        <w:rPr>
          <w:rFonts w:cstheme="minorHAnsi"/>
          <w:color w:val="181818" w:themeColor="text2" w:themeShade="BF"/>
        </w:rPr>
        <w:t>- Holders of public office should promote and support these principles by leadership and example.</w:t>
      </w:r>
    </w:p>
    <w:p w14:paraId="31FEA1E7" w14:textId="77777777" w:rsidR="00594B79" w:rsidRPr="008B7337" w:rsidRDefault="00594B79" w:rsidP="00422621">
      <w:pPr>
        <w:spacing w:line="240" w:lineRule="atLeast"/>
      </w:pPr>
    </w:p>
    <w:sectPr w:rsidR="00594B79" w:rsidRPr="008B7337" w:rsidSect="00FA373E">
      <w:headerReference w:type="default" r:id="rId26"/>
      <w:footerReference w:type="default" r:id="rId27"/>
      <w:headerReference w:type="first" r:id="rId28"/>
      <w:footerReference w:type="first" r:id="rId29"/>
      <w:pgSz w:w="11906" w:h="16838" w:code="1"/>
      <w:pgMar w:top="720" w:right="720" w:bottom="964" w:left="720" w:header="709" w:footer="56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7A2DE" w14:textId="77777777" w:rsidR="008A508D" w:rsidRDefault="008A508D">
      <w:r>
        <w:separator/>
      </w:r>
    </w:p>
    <w:p w14:paraId="051FFE09" w14:textId="77777777" w:rsidR="008A508D" w:rsidRDefault="008A508D"/>
  </w:endnote>
  <w:endnote w:type="continuationSeparator" w:id="0">
    <w:p w14:paraId="2D008BEE" w14:textId="77777777" w:rsidR="008A508D" w:rsidRDefault="008A508D">
      <w:r>
        <w:continuationSeparator/>
      </w:r>
    </w:p>
    <w:p w14:paraId="0904ED0D" w14:textId="77777777" w:rsidR="008A508D" w:rsidRDefault="008A508D"/>
    <w:p w14:paraId="1D06B90F" w14:textId="77777777" w:rsidR="008A508D" w:rsidRDefault="008A508D">
      <w:r w:rsidRPr="00986A0D">
        <w:t xml:space="preserve">Page </w:t>
      </w:r>
      <w:r>
        <w:fldChar w:fldCharType="begin"/>
      </w:r>
      <w:r>
        <w:instrText xml:space="preserve"> PAGE  \* Arabic  \* MERGEFORMAT </w:instrText>
      </w:r>
      <w:r>
        <w:fldChar w:fldCharType="separate"/>
      </w:r>
      <w:r>
        <w:rPr>
          <w:noProof/>
        </w:rPr>
        <w:t>3</w:t>
      </w:r>
      <w:r>
        <w:rPr>
          <w:noProof/>
        </w:rPr>
        <w:fldChar w:fldCharType="end"/>
      </w:r>
      <w:r w:rsidRPr="00986A0D">
        <w:t xml:space="preserve"> of </w:t>
      </w:r>
      <w:r>
        <w:fldChar w:fldCharType="begin"/>
      </w:r>
      <w:r>
        <w:instrText>PAGEREF  End</w:instrText>
      </w:r>
      <w:r>
        <w:fldChar w:fldCharType="separate"/>
      </w:r>
      <w:r>
        <w:rPr>
          <w:noProof/>
        </w:rPr>
        <w:t>2</w:t>
      </w:r>
      <w:r>
        <w:fldChar w:fldCharType="end"/>
      </w:r>
    </w:p>
  </w:endnote>
  <w:endnote w:type="continuationNotice" w:id="1">
    <w:p w14:paraId="6EC867E1" w14:textId="77777777" w:rsidR="008A508D" w:rsidRDefault="008A50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674E1" w14:textId="77777777" w:rsidR="00F23C1B" w:rsidRDefault="00F23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7048" w14:textId="77777777" w:rsidR="008B7337" w:rsidRDefault="008B7337" w:rsidP="00886CAC">
    <w:pPr>
      <w:pStyle w:val="BodyText"/>
      <w:tabs>
        <w:tab w:val="left" w:pos="5625"/>
      </w:tabs>
      <w:spacing w:before="240" w:after="0" w:line="216" w:lineRule="auto"/>
    </w:pPr>
    <w:bookmarkStart w:id="1" w:name="_Hlk62660786"/>
    <w:bookmarkStart w:id="2" w:name="_Hlk62660785"/>
    <w:bookmarkStart w:id="3" w:name="_Hlk62660364"/>
    <w:bookmarkStart w:id="4" w:name="_Hlk62660363"/>
    <w:r w:rsidRPr="001E6955">
      <w:t>Private and Confidential</w:t>
    </w:r>
    <w:bookmarkEnd w:id="1"/>
    <w:bookmarkEnd w:id="2"/>
    <w:bookmarkEnd w:id="3"/>
    <w:bookmarkEnd w:id="4"/>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BEB07" w14:textId="77777777" w:rsidR="00F23C1B" w:rsidRDefault="00F23C1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16BCA" w14:textId="00A6AE15" w:rsidR="001E272F" w:rsidRPr="003A75C4" w:rsidRDefault="005E137F" w:rsidP="003A75C4">
    <w:pPr>
      <w:pStyle w:val="Footer"/>
      <w:tabs>
        <w:tab w:val="clear" w:pos="4680"/>
        <w:tab w:val="clear" w:pos="8640"/>
        <w:tab w:val="center" w:pos="4535"/>
        <w:tab w:val="right" w:pos="10426"/>
      </w:tabs>
      <w:spacing w:before="240"/>
      <w:rPr>
        <w:rFonts w:cstheme="minorHAnsi"/>
        <w:color w:val="000000" w:themeColor="text1"/>
        <w:szCs w:val="14"/>
      </w:rPr>
    </w:pPr>
    <w:sdt>
      <w:sdtPr>
        <w:alias w:val="{{Translate(&quot;PrivateandConfidential&quot;, HostSystem.Language)}}"/>
        <w:tag w:val="{&quot;templafy&quot;:{&quot;id&quot;:&quot;61ac856e-eddb-4cbe-8c96-47476a512907&quot;}}"/>
        <w:id w:val="1641456052"/>
      </w:sdtPr>
      <w:sdtEndPr/>
      <w:sdtContent>
        <w:r w:rsidR="008B7337">
          <w:t>Private and Confidential</w:t>
        </w:r>
      </w:sdtContent>
    </w:sdt>
    <w:r w:rsidR="002661E9">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A65CC" w14:textId="7A88EF42" w:rsidR="001E272F" w:rsidRPr="002661E9" w:rsidRDefault="005E137F" w:rsidP="002661E9">
    <w:pPr>
      <w:pStyle w:val="BodyText"/>
      <w:tabs>
        <w:tab w:val="right" w:pos="10426"/>
      </w:tabs>
      <w:spacing w:before="240" w:after="0" w:line="216" w:lineRule="auto"/>
    </w:pPr>
    <w:sdt>
      <w:sdtPr>
        <w:alias w:val="{{Translate(&quot;PrivateandConfidential&quot;, HostSystem.Language)}}"/>
        <w:tag w:val="{&quot;templafy&quot;:{&quot;id&quot;:&quot;e9c2ced7-61dc-42ea-87f5-4aa129232bea&quot;}}"/>
        <w:id w:val="1435716172"/>
      </w:sdtPr>
      <w:sdtEndPr/>
      <w:sdtContent>
        <w:r w:rsidR="008B7337">
          <w:t>Private and Confidential</w:t>
        </w:r>
      </w:sdtContent>
    </w:sdt>
    <w:r w:rsidR="002661E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84C57" w14:textId="77777777" w:rsidR="008A508D" w:rsidRDefault="008A508D">
      <w:r>
        <w:separator/>
      </w:r>
    </w:p>
    <w:p w14:paraId="19455C28" w14:textId="77777777" w:rsidR="008A508D" w:rsidRDefault="008A508D"/>
  </w:footnote>
  <w:footnote w:type="continuationSeparator" w:id="0">
    <w:p w14:paraId="68FE0061" w14:textId="77777777" w:rsidR="008A508D" w:rsidRDefault="008A508D">
      <w:r>
        <w:continuationSeparator/>
      </w:r>
    </w:p>
    <w:p w14:paraId="73617578" w14:textId="77777777" w:rsidR="008A508D" w:rsidRDefault="008A508D"/>
  </w:footnote>
  <w:footnote w:type="continuationNotice" w:id="1">
    <w:p w14:paraId="63E517D1" w14:textId="77777777" w:rsidR="008A508D" w:rsidRDefault="008A50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372CF" w14:textId="77777777" w:rsidR="00F23C1B" w:rsidRDefault="00F23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A350" w14:textId="7C4ABEE1" w:rsidR="008B7337" w:rsidRDefault="008B7337" w:rsidP="003373D4">
    <w:pPr>
      <w:tabs>
        <w:tab w:val="left" w:pos="1833"/>
      </w:tabs>
    </w:pPr>
    <w:r>
      <w:tab/>
    </w:r>
    <w:r>
      <w:rPr>
        <w:noProof/>
      </w:rPr>
      <w:drawing>
        <wp:anchor distT="0" distB="0" distL="0" distR="0" simplePos="0" relativeHeight="251656704" behindDoc="0" locked="0" layoutInCell="1" allowOverlap="1" wp14:anchorId="15F435D5" wp14:editId="54C1FC07">
          <wp:simplePos x="0" y="0"/>
          <wp:positionH relativeFrom="page">
            <wp:align>right</wp:align>
          </wp:positionH>
          <wp:positionV relativeFrom="page">
            <wp:align>bottom</wp:align>
          </wp:positionV>
          <wp:extent cx="1033200" cy="583200"/>
          <wp:effectExtent l="0" t="0" r="0" b="0"/>
          <wp:wrapNone/>
          <wp:docPr id="8" name="Picture 8"/>
          <wp:cNvGraphicFramePr/>
          <a:graphic xmlns:a="http://schemas.openxmlformats.org/drawingml/2006/main">
            <a:graphicData uri="http://schemas.openxmlformats.org/drawingml/2006/picture">
              <pic:pic xmlns:pic="http://schemas.openxmlformats.org/drawingml/2006/picture">
                <pic:nvPicPr>
                  <pic:cNvPr id="345056851" name="Logo"/>
                  <pic:cNvPicPr/>
                </pic:nvPicPr>
                <pic:blipFill>
                  <a:blip r:embed="rId1"/>
                  <a:srcRect r="-79375" b="-69148"/>
                  <a:stretch/>
                </pic:blipFill>
                <pic:spPr>
                  <a:xfrm>
                    <a:off x="0" y="0"/>
                    <a:ext cx="1033200" cy="583200"/>
                  </a:xfrm>
                  <a:prstGeom prst="rect">
                    <a:avLst/>
                  </a:prstGeom>
                </pic:spPr>
              </pic:pic>
            </a:graphicData>
          </a:graphic>
        </wp:anchor>
      </w:drawing>
    </w:r>
    <w:r>
      <w:rPr>
        <w:noProof/>
      </w:rPr>
      <w:drawing>
        <wp:anchor distT="0" distB="0" distL="0" distR="0" simplePos="0" relativeHeight="251658752" behindDoc="1" locked="0" layoutInCell="1" allowOverlap="1" wp14:anchorId="30EE759B" wp14:editId="472285B6">
          <wp:simplePos x="0" y="0"/>
          <wp:positionH relativeFrom="margin">
            <wp:align>left</wp:align>
          </wp:positionH>
          <wp:positionV relativeFrom="page">
            <wp:posOffset>450000</wp:posOffset>
          </wp:positionV>
          <wp:extent cx="558000" cy="72075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248854813" name="LogoR"/>
                  <pic:cNvPicPr/>
                </pic:nvPicPr>
                <pic:blipFill>
                  <a:blip r:embed="rId2"/>
                  <a:srcRect/>
                  <a:stretch/>
                </pic:blipFill>
                <pic:spPr>
                  <a:xfrm>
                    <a:off x="0" y="0"/>
                    <a:ext cx="558000" cy="720750"/>
                  </a:xfrm>
                  <a:prstGeom prst="rect">
                    <a:avLst/>
                  </a:prstGeom>
                </pic:spPr>
              </pic:pic>
            </a:graphicData>
          </a:graphic>
        </wp:anchor>
      </w:drawing>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r>
      <w:rPr>
        <w:rFonts w:ascii="Arial" w:hAnsi="Arial"/>
        <w:noProof/>
        <w:szCs w:val="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0FB69" w14:textId="77777777" w:rsidR="008B7337" w:rsidRPr="00FE6766" w:rsidRDefault="008B7337" w:rsidP="006A21DA">
    <w:pPr>
      <w:pStyle w:val="HeaderText1"/>
      <w:rPr>
        <w:color w:val="A9A9A9"/>
        <w:sz w:val="18"/>
      </w:rPr>
    </w:pPr>
    <w:r>
      <w:rPr>
        <w:noProof/>
      </w:rPr>
      <mc:AlternateContent>
        <mc:Choice Requires="wps">
          <w:drawing>
            <wp:anchor distT="0" distB="0" distL="114300" distR="114300" simplePos="0" relativeHeight="251657728" behindDoc="0" locked="0" layoutInCell="1" allowOverlap="1" wp14:anchorId="12707F1F" wp14:editId="00C9803D">
              <wp:simplePos x="0" y="0"/>
              <wp:positionH relativeFrom="page">
                <wp:posOffset>960120</wp:posOffset>
              </wp:positionH>
              <wp:positionV relativeFrom="page">
                <wp:posOffset>1435735</wp:posOffset>
              </wp:positionV>
              <wp:extent cx="5486400" cy="0"/>
              <wp:effectExtent l="0" t="0" r="19050" b="19050"/>
              <wp:wrapNone/>
              <wp:docPr id="10" name="Straight Connector 2"/>
              <wp:cNvGraphicFramePr/>
              <a:graphic xmlns:a="http://schemas.openxmlformats.org/drawingml/2006/main">
                <a:graphicData uri="http://schemas.microsoft.com/office/word/2010/wordprocessingShape">
                  <wps:wsp>
                    <wps:cNvCnPr/>
                    <wps:spPr>
                      <a:xfrm>
                        <a:off x="0" y="0"/>
                        <a:ext cx="5486400" cy="0"/>
                      </a:xfrm>
                      <a:prstGeom prst="line">
                        <a:avLst/>
                      </a:prstGeom>
                      <a:noFill/>
                      <a:ln w="6350" cap="flat" cmpd="sng" algn="ctr">
                        <a:solidFill>
                          <a:srgbClr val="FF0000"/>
                        </a:solidFill>
                        <a:prstDash val="solid"/>
                      </a:ln>
                      <a:effectLst/>
                    </wps:spPr>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3E9F5A9A" id="Straight Connector 2"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75.6pt,113.05pt" to="507.6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" strokecolor="red" strokeweight=".5pt">
              <w10:wrap anchorx="page" anchory="page"/>
            </v:line>
          </w:pict>
        </mc:Fallback>
      </mc:AlternateContent>
    </w:r>
    <w:r>
      <w:tab/>
    </w:r>
    <w:r w:rsidRPr="00FE6766">
      <w:rPr>
        <w:color w:val="A9A9A9"/>
        <w:sz w:val="18"/>
      </w:rPr>
      <w:t>Ref: Position 1</w:t>
    </w:r>
  </w:p>
  <w:p w14:paraId="2EF9B660" w14:textId="77777777" w:rsidR="008B7337" w:rsidRPr="00FE6766" w:rsidRDefault="008B7337" w:rsidP="00BD12D5">
    <w:pPr>
      <w:spacing w:line="220" w:lineRule="exact"/>
      <w:jc w:val="right"/>
      <w:rPr>
        <w:color w:val="A9A9A9"/>
        <w:sz w:val="18"/>
      </w:rPr>
    </w:pPr>
    <w:r w:rsidRPr="00FE6766">
      <w:rPr>
        <w:color w:val="A9A9A9"/>
        <w:sz w:val="18"/>
      </w:rPr>
      <w:t>Position 2</w:t>
    </w:r>
  </w:p>
  <w:p w14:paraId="3CD65971" w14:textId="77777777" w:rsidR="008B7337" w:rsidRDefault="008B7337" w:rsidP="00BD12D5">
    <w:pPr>
      <w:spacing w:line="220" w:lineRule="exact"/>
      <w:jc w:val="right"/>
      <w:rPr>
        <w:color w:val="A9A9A9"/>
        <w:sz w:val="18"/>
      </w:rPr>
    </w:pPr>
    <w:r w:rsidRPr="00FE6766">
      <w:rPr>
        <w:color w:val="A9A9A9"/>
        <w:sz w:val="18"/>
      </w:rPr>
      <w:t>Client</w:t>
    </w:r>
  </w:p>
  <w:p w14:paraId="0632125B" w14:textId="77777777" w:rsidR="008B7337" w:rsidRPr="00FE6766" w:rsidRDefault="008B7337" w:rsidP="00BD12D5">
    <w:pPr>
      <w:spacing w:line="220" w:lineRule="exact"/>
      <w:jc w:val="right"/>
      <w:rPr>
        <w:color w:val="A9A9A9"/>
        <w:sz w:val="18"/>
      </w:rPr>
    </w:pPr>
    <w:r w:rsidRPr="00256B2D">
      <w:rPr>
        <w:color w:val="A9A9A9"/>
        <w:sz w:val="18"/>
      </w:rPr>
      <w:t>Website</w:t>
    </w:r>
    <w:r>
      <w:rPr>
        <w:noProof/>
      </w:rPr>
      <w:drawing>
        <wp:anchor distT="0" distB="0" distL="0" distR="0" simplePos="0" relativeHeight="251659776" behindDoc="0" locked="0" layoutInCell="1" allowOverlap="1" wp14:anchorId="4D494B92" wp14:editId="0FE50EB6">
          <wp:simplePos x="0" y="0"/>
          <wp:positionH relativeFrom="page">
            <wp:align>right</wp:align>
          </wp:positionH>
          <wp:positionV relativeFrom="page">
            <wp:align>bottom</wp:align>
          </wp:positionV>
          <wp:extent cx="1033200" cy="583200"/>
          <wp:effectExtent l="0" t="0" r="0" b="0"/>
          <wp:wrapNone/>
          <wp:docPr id="11" name="Picture 11"/>
          <wp:cNvGraphicFramePr/>
          <a:graphic xmlns:a="http://schemas.openxmlformats.org/drawingml/2006/main">
            <a:graphicData uri="http://schemas.openxmlformats.org/drawingml/2006/picture">
              <pic:pic xmlns:pic="http://schemas.openxmlformats.org/drawingml/2006/picture">
                <pic:nvPicPr>
                  <pic:cNvPr id="160987836" name="Logo1"/>
                  <pic:cNvPicPr/>
                </pic:nvPicPr>
                <pic:blipFill>
                  <a:blip r:embed="rId1"/>
                  <a:srcRect r="-79375" b="-69148"/>
                  <a:stretch/>
                </pic:blipFill>
                <pic:spPr>
                  <a:xfrm>
                    <a:off x="0" y="0"/>
                    <a:ext cx="1033200" cy="5832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67"/>
      <w:gridCol w:w="5625"/>
    </w:tblGrid>
    <w:tr w:rsidR="004615D0" w14:paraId="4EFC13C4" w14:textId="77777777" w:rsidTr="006A6881">
      <w:trPr>
        <w:cantSplit/>
        <w:trHeight w:hRule="exact" w:val="775"/>
      </w:trPr>
      <w:tc>
        <w:tcPr>
          <w:tcW w:w="2213" w:type="pct"/>
          <w:noWrap/>
        </w:tcPr>
        <w:sdt>
          <w:sdtPr>
            <w:alias w:val="{{Translate(&quot;PositionSpecification&quot;, HostSystem.Language)}}"/>
            <w:tag w:val="{&quot;templafy&quot;:{&quot;id&quot;:&quot;ef2375b4-ab30-47cb-b64a-fa042b01e211&quot;}}"/>
            <w:id w:val="1367258840"/>
          </w:sdtPr>
          <w:sdtEndPr/>
          <w:sdtContent>
            <w:p w14:paraId="340DEE38" w14:textId="143BD461" w:rsidR="002A76EC" w:rsidRDefault="00CC6DCE">
              <w:pPr>
                <w:pStyle w:val="HeaderTitle"/>
                <w:rPr>
                  <w:rFonts w:asciiTheme="minorHAnsi" w:eastAsia="SimSun" w:hAnsiTheme="minorHAnsi" w:cs="Times New Roman"/>
                  <w:b/>
                  <w:bCs w:val="0"/>
                  <w:sz w:val="20"/>
                  <w:szCs w:val="20"/>
                </w:rPr>
              </w:pPr>
              <w:r>
                <w:t xml:space="preserve">Candidate </w:t>
              </w:r>
              <w:r w:rsidR="00690C25">
                <w:t xml:space="preserve">Information </w:t>
              </w:r>
              <w:r>
                <w:t>Pack</w:t>
              </w:r>
            </w:p>
          </w:sdtContent>
        </w:sdt>
        <w:p w14:paraId="15789A56" w14:textId="77777777" w:rsidR="004615D0" w:rsidRPr="004615D0" w:rsidRDefault="004615D0" w:rsidP="006A21DA">
          <w:pPr>
            <w:pStyle w:val="HeaderTitle"/>
          </w:pPr>
        </w:p>
      </w:tc>
      <w:tc>
        <w:tcPr>
          <w:tcW w:w="2787" w:type="pct"/>
          <w:noWrap/>
        </w:tcPr>
        <w:p w14:paraId="5ED40398" w14:textId="2C3497F2" w:rsidR="00FE2F39" w:rsidRDefault="00FE2F39" w:rsidP="00FE2F39">
          <w:pPr>
            <w:pStyle w:val="RRAHeading2"/>
          </w:pPr>
          <w:r w:rsidRPr="002041A6">
            <w:t xml:space="preserve">Ref: </w:t>
          </w:r>
          <w:sdt>
            <w:sdtPr>
              <w:alias w:val="Header.JobTitle"/>
              <w:tag w:val="{&quot;BindingKey&quot;:&quot;Data.CoverPage.JobTitle&quot;,&quot;BindingType&quot;:&quot;Field&quot;,&quot;JsonPath&quot;:&quot;$.Data.CoverPage.JobTitle&quot;}"/>
              <w:id w:val="-1438512707"/>
              <w:placeholder>
                <w:docPart w:val="A1A6E42CB63640CBA0732C1B2538655F"/>
              </w:placeholder>
            </w:sdtPr>
            <w:sdtEndPr/>
            <w:sdtContent>
              <w:r>
                <w:t>Non-Executive Director</w:t>
              </w:r>
              <w:r w:rsidR="00307B1A">
                <w:t xml:space="preserve"> and </w:t>
              </w:r>
              <w:r w:rsidR="00E82316">
                <w:t xml:space="preserve">Chair of </w:t>
              </w:r>
              <w:r w:rsidR="00307B1A">
                <w:t xml:space="preserve">Remuneration </w:t>
              </w:r>
              <w:r w:rsidR="0068381C">
                <w:t>Committee</w:t>
              </w:r>
              <w:r>
                <w:t xml:space="preserve"> </w:t>
              </w:r>
            </w:sdtContent>
          </w:sdt>
        </w:p>
        <w:sdt>
          <w:sdtPr>
            <w:rPr>
              <w:color w:val="000000"/>
              <w:sz w:val="18"/>
              <w:szCs w:val="18"/>
            </w:rPr>
            <w:alias w:val="Header.Company"/>
            <w:tag w:val="{&quot;BindingKey&quot;:&quot;Data.CoverPage.CompanyName&quot;,&quot;BindingType&quot;:&quot;Field&quot;,&quot;JsonPath&quot;:&quot;$.Data.CoverPage.CompanyName&quot;}"/>
            <w:id w:val="-399451447"/>
            <w:placeholder>
              <w:docPart w:val="A1A6E42CB63640CBA0732C1B2538655F"/>
            </w:placeholder>
          </w:sdtPr>
          <w:sdtEndPr/>
          <w:sdtContent>
            <w:p w14:paraId="069AC759" w14:textId="42ECD1AC" w:rsidR="00FE2F39" w:rsidRPr="006422A7" w:rsidRDefault="00307B1A" w:rsidP="00FE2F39">
              <w:pPr>
                <w:spacing w:line="216" w:lineRule="auto"/>
                <w:jc w:val="right"/>
                <w:rPr>
                  <w:color w:val="000000"/>
                  <w:sz w:val="18"/>
                  <w:szCs w:val="18"/>
                </w:rPr>
              </w:pPr>
              <w:r>
                <w:rPr>
                  <w:color w:val="000000"/>
                  <w:sz w:val="18"/>
                  <w:szCs w:val="18"/>
                </w:rPr>
                <w:t>British Business Bank</w:t>
              </w:r>
              <w:r w:rsidR="00FE2F39">
                <w:rPr>
                  <w:color w:val="000000"/>
                  <w:sz w:val="18"/>
                  <w:szCs w:val="18"/>
                </w:rPr>
                <w:t xml:space="preserve"> plc</w:t>
              </w:r>
            </w:p>
          </w:sdtContent>
        </w:sdt>
        <w:p w14:paraId="53326290" w14:textId="77777777" w:rsidR="004615D0" w:rsidRPr="002041A6" w:rsidRDefault="004615D0" w:rsidP="006A6881">
          <w:pPr>
            <w:spacing w:line="216" w:lineRule="auto"/>
            <w:jc w:val="right"/>
            <w:rPr>
              <w:rFonts w:cstheme="minorHAnsi"/>
              <w:sz w:val="18"/>
              <w:szCs w:val="18"/>
              <w:vertAlign w:val="subscript"/>
            </w:rPr>
          </w:pPr>
        </w:p>
      </w:tc>
    </w:tr>
  </w:tbl>
  <w:p w14:paraId="378F1DCC" w14:textId="77777777" w:rsidR="001E272F" w:rsidRPr="005C6946" w:rsidRDefault="001E272F" w:rsidP="005C6946">
    <w:pPr>
      <w:pStyle w:val="Headerline"/>
    </w:pPr>
    <w:r>
      <w:rPr>
        <w:noProof/>
      </w:rPr>
      <w:drawing>
        <wp:anchor distT="0" distB="0" distL="0" distR="0" simplePos="0" relativeHeight="251654656" behindDoc="0" locked="0" layoutInCell="1" allowOverlap="1" wp14:anchorId="232BDE49" wp14:editId="64FB692A">
          <wp:simplePos x="0" y="0"/>
          <wp:positionH relativeFrom="page">
            <wp:align>right</wp:align>
          </wp:positionH>
          <wp:positionV relativeFrom="page">
            <wp:align>bottom</wp:align>
          </wp:positionV>
          <wp:extent cx="1033200" cy="583200"/>
          <wp:effectExtent l="0" t="0" r="0" b="0"/>
          <wp:wrapNone/>
          <wp:docPr id="5" name="Logo3"/>
          <wp:cNvGraphicFramePr/>
          <a:graphic xmlns:a="http://schemas.openxmlformats.org/drawingml/2006/main">
            <a:graphicData uri="http://schemas.openxmlformats.org/drawingml/2006/picture">
              <pic:pic xmlns:pic="http://schemas.openxmlformats.org/drawingml/2006/picture">
                <pic:nvPicPr>
                  <pic:cNvPr id="1312774839" name="Logo3"/>
                  <pic:cNvPicPr/>
                </pic:nvPicPr>
                <pic:blipFill>
                  <a:blip r:embed="rId1"/>
                  <a:srcRect r="-79375" b="-69152"/>
                  <a:stretch/>
                </pic:blipFill>
                <pic:spPr>
                  <a:xfrm>
                    <a:off x="0" y="0"/>
                    <a:ext cx="1033200" cy="58320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22"/>
      <w:gridCol w:w="5223"/>
    </w:tblGrid>
    <w:tr w:rsidR="00A40AF3" w14:paraId="400A2547" w14:textId="77777777" w:rsidTr="00A40AF3">
      <w:trPr>
        <w:cantSplit/>
        <w:trHeight w:hRule="exact" w:val="813"/>
      </w:trPr>
      <w:tc>
        <w:tcPr>
          <w:tcW w:w="2500" w:type="pct"/>
          <w:noWrap/>
        </w:tcPr>
        <w:sdt>
          <w:sdtPr>
            <w:alias w:val="{{Translate(&quot;PositionSpecification&quot;, HostSystem.Language)}}"/>
            <w:tag w:val="{&quot;templafy&quot;:{&quot;id&quot;:&quot;085a1493-8f33-49d0-a252-6ee709e1e5b0&quot;}}"/>
            <w:id w:val="1992355882"/>
          </w:sdtPr>
          <w:sdtEndPr/>
          <w:sdtContent>
            <w:p w14:paraId="5A18A79B" w14:textId="5FF36374" w:rsidR="002A76EC" w:rsidRDefault="005430B7">
              <w:pPr>
                <w:pStyle w:val="HeaderTitle"/>
              </w:pPr>
              <w:r>
                <w:t xml:space="preserve">Candidate </w:t>
              </w:r>
              <w:r w:rsidR="00690C25">
                <w:t xml:space="preserve">Information </w:t>
              </w:r>
              <w:r>
                <w:t>Pack</w:t>
              </w:r>
            </w:p>
          </w:sdtContent>
        </w:sdt>
      </w:tc>
      <w:tc>
        <w:tcPr>
          <w:tcW w:w="2500" w:type="pct"/>
          <w:noWrap/>
        </w:tcPr>
        <w:p w14:paraId="205C84E7" w14:textId="6E317ECD" w:rsidR="00FE2F39" w:rsidRDefault="00FE2F39" w:rsidP="00FE2F39">
          <w:pPr>
            <w:pStyle w:val="RRAHeading2"/>
          </w:pPr>
          <w:r w:rsidRPr="002041A6">
            <w:t xml:space="preserve">Ref: </w:t>
          </w:r>
          <w:sdt>
            <w:sdtPr>
              <w:alias w:val="Header.JobTitle"/>
              <w:tag w:val="{&quot;BindingKey&quot;:&quot;Data.CoverPage.JobTitle&quot;,&quot;BindingType&quot;:&quot;Field&quot;,&quot;JsonPath&quot;:&quot;$.Data.CoverPage.JobTitle&quot;}"/>
              <w:id w:val="860251525"/>
              <w:placeholder>
                <w:docPart w:val="351BF287380B4DB4944712C1ECD62B55"/>
              </w:placeholder>
            </w:sdtPr>
            <w:sdtEndPr/>
            <w:sdtContent>
              <w:r>
                <w:t>Non-Executive Director</w:t>
              </w:r>
              <w:r w:rsidR="00307B1A">
                <w:t xml:space="preserve"> and</w:t>
              </w:r>
              <w:r w:rsidR="00E82316">
                <w:t xml:space="preserve"> Chair of</w:t>
              </w:r>
              <w:r w:rsidR="00307B1A">
                <w:t xml:space="preserve"> Remuneration </w:t>
              </w:r>
              <w:r w:rsidR="0068381C">
                <w:t>Committ</w:t>
              </w:r>
              <w:r w:rsidR="00BB635B">
                <w:t>e</w:t>
              </w:r>
              <w:r w:rsidR="0068381C">
                <w:t>e</w:t>
              </w:r>
            </w:sdtContent>
          </w:sdt>
        </w:p>
        <w:sdt>
          <w:sdtPr>
            <w:rPr>
              <w:color w:val="000000"/>
              <w:sz w:val="18"/>
              <w:szCs w:val="18"/>
            </w:rPr>
            <w:alias w:val="Header.Company"/>
            <w:tag w:val="{&quot;BindingKey&quot;:&quot;Data.CoverPage.CompanyName&quot;,&quot;BindingType&quot;:&quot;Field&quot;,&quot;JsonPath&quot;:&quot;$.Data.CoverPage.CompanyName&quot;}"/>
            <w:id w:val="28688992"/>
            <w:placeholder>
              <w:docPart w:val="351BF287380B4DB4944712C1ECD62B55"/>
            </w:placeholder>
          </w:sdtPr>
          <w:sdtEndPr/>
          <w:sdtContent>
            <w:p w14:paraId="18634F23" w14:textId="47D4B9EC" w:rsidR="00FE2F39" w:rsidRPr="006422A7" w:rsidRDefault="00307B1A" w:rsidP="00FE2F39">
              <w:pPr>
                <w:spacing w:line="216" w:lineRule="auto"/>
                <w:jc w:val="right"/>
                <w:rPr>
                  <w:color w:val="000000"/>
                  <w:sz w:val="18"/>
                  <w:szCs w:val="18"/>
                </w:rPr>
              </w:pPr>
              <w:r>
                <w:rPr>
                  <w:color w:val="000000"/>
                  <w:sz w:val="18"/>
                  <w:szCs w:val="18"/>
                </w:rPr>
                <w:t>British Business Bank</w:t>
              </w:r>
              <w:r w:rsidR="00FE2F39">
                <w:rPr>
                  <w:color w:val="000000"/>
                  <w:sz w:val="18"/>
                  <w:szCs w:val="18"/>
                </w:rPr>
                <w:t xml:space="preserve"> plc</w:t>
              </w:r>
            </w:p>
          </w:sdtContent>
        </w:sdt>
        <w:p w14:paraId="103AEFB1" w14:textId="77777777" w:rsidR="00A40AF3" w:rsidRPr="002041A6" w:rsidRDefault="00A40AF3" w:rsidP="00A40AF3">
          <w:pPr>
            <w:spacing w:line="216" w:lineRule="auto"/>
            <w:jc w:val="right"/>
            <w:rPr>
              <w:rFonts w:cstheme="minorHAnsi"/>
              <w:sz w:val="18"/>
              <w:szCs w:val="18"/>
              <w:vertAlign w:val="subscript"/>
            </w:rPr>
          </w:pPr>
        </w:p>
      </w:tc>
    </w:tr>
  </w:tbl>
  <w:p w14:paraId="6044F5AC" w14:textId="77777777" w:rsidR="001E272F" w:rsidRPr="00F23E6C" w:rsidRDefault="001E272F" w:rsidP="00FA373E">
    <w:pPr>
      <w:pStyle w:val="Headerline"/>
      <w:pBdr>
        <w:top w:val="single" w:sz="6" w:space="0" w:color="auto"/>
      </w:pBdr>
    </w:pPr>
    <w:r>
      <w:rPr>
        <w:noProof/>
      </w:rPr>
      <w:drawing>
        <wp:anchor distT="0" distB="0" distL="0" distR="0" simplePos="0" relativeHeight="251655680" behindDoc="0" locked="0" layoutInCell="1" allowOverlap="1" wp14:anchorId="1BFE5783" wp14:editId="076FFB9C">
          <wp:simplePos x="0" y="0"/>
          <wp:positionH relativeFrom="page">
            <wp:align>right</wp:align>
          </wp:positionH>
          <wp:positionV relativeFrom="page">
            <wp:align>bottom</wp:align>
          </wp:positionV>
          <wp:extent cx="1033200" cy="583200"/>
          <wp:effectExtent l="0" t="0" r="0" b="0"/>
          <wp:wrapNone/>
          <wp:docPr id="2" name="Logo4"/>
          <wp:cNvGraphicFramePr/>
          <a:graphic xmlns:a="http://schemas.openxmlformats.org/drawingml/2006/main">
            <a:graphicData uri="http://schemas.openxmlformats.org/drawingml/2006/picture">
              <pic:pic xmlns:pic="http://schemas.openxmlformats.org/drawingml/2006/picture">
                <pic:nvPicPr>
                  <pic:cNvPr id="1135112638" name="Logo4"/>
                  <pic:cNvPicPr/>
                </pic:nvPicPr>
                <pic:blipFill>
                  <a:blip r:embed="rId1"/>
                  <a:srcRect r="-79375" b="-69152"/>
                  <a:stretch/>
                </pic:blipFill>
                <pic:spPr>
                  <a:xfrm>
                    <a:off x="0" y="0"/>
                    <a:ext cx="1033200" cy="5832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3FC5D6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6B2F9C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70A461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8D43EF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2B672D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60E6EB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A8901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C525A3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CCE2F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75A5A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9625F"/>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BD0866"/>
    <w:multiLevelType w:val="hybridMultilevel"/>
    <w:tmpl w:val="D194A5D8"/>
    <w:lvl w:ilvl="0" w:tplc="04090001">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9A57B3"/>
    <w:multiLevelType w:val="multilevel"/>
    <w:tmpl w:val="489A9BD4"/>
    <w:lvl w:ilvl="0">
      <w:start w:val="1"/>
      <w:numFmt w:val="bullet"/>
      <w:lvlText w:val=""/>
      <w:lvlJc w:val="left"/>
      <w:pPr>
        <w:ind w:left="576" w:hanging="180"/>
      </w:pPr>
      <w:rPr>
        <w:rFonts w:ascii="Symbol" w:hAnsi="Symbol" w:hint="default"/>
        <w:color w:val="000000" w:themeColor="text1"/>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9A672E"/>
    <w:multiLevelType w:val="multilevel"/>
    <w:tmpl w:val="2AAECFF4"/>
    <w:lvl w:ilvl="0">
      <w:start w:val="1"/>
      <w:numFmt w:val="bullet"/>
      <w:lvlText w:val=""/>
      <w:lvlJc w:val="left"/>
      <w:pPr>
        <w:ind w:left="576" w:hanging="180"/>
      </w:pPr>
      <w:rPr>
        <w:rFonts w:ascii="Symbol" w:hAnsi="Symbol"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0A4EA7"/>
    <w:multiLevelType w:val="multilevel"/>
    <w:tmpl w:val="0809001D"/>
    <w:styleLink w:val="newlis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A046A1"/>
    <w:multiLevelType w:val="multilevel"/>
    <w:tmpl w:val="B0649E3A"/>
    <w:lvl w:ilvl="0">
      <w:start w:val="1"/>
      <w:numFmt w:val="bullet"/>
      <w:lvlText w:val=""/>
      <w:lvlJc w:val="left"/>
      <w:pPr>
        <w:ind w:left="576" w:hanging="180"/>
      </w:pPr>
      <w:rPr>
        <w:rFonts w:ascii="Symbol" w:hAnsi="Symbol"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B042A44"/>
    <w:multiLevelType w:val="hybridMultilevel"/>
    <w:tmpl w:val="3BF6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363BBA"/>
    <w:multiLevelType w:val="hybridMultilevel"/>
    <w:tmpl w:val="2C68D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F644DC"/>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415B2B"/>
    <w:multiLevelType w:val="multilevel"/>
    <w:tmpl w:val="96FE0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E85FDA"/>
    <w:multiLevelType w:val="hybridMultilevel"/>
    <w:tmpl w:val="53C2C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3E49D8"/>
    <w:multiLevelType w:val="multilevel"/>
    <w:tmpl w:val="3B824D94"/>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AA36A56"/>
    <w:multiLevelType w:val="multilevel"/>
    <w:tmpl w:val="7FF8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0D1BF6"/>
    <w:multiLevelType w:val="hybridMultilevel"/>
    <w:tmpl w:val="A02C5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F21993"/>
    <w:multiLevelType w:val="multilevel"/>
    <w:tmpl w:val="8F181DCE"/>
    <w:lvl w:ilvl="0">
      <w:start w:val="1"/>
      <w:numFmt w:val="bullet"/>
      <w:lvlText w:val=""/>
      <w:lvlJc w:val="left"/>
      <w:pPr>
        <w:ind w:left="576" w:hanging="180"/>
      </w:pPr>
      <w:rPr>
        <w:rFonts w:ascii="Symbol" w:hAnsi="Symbol"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7434372"/>
    <w:multiLevelType w:val="multilevel"/>
    <w:tmpl w:val="3B824D94"/>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9164176"/>
    <w:multiLevelType w:val="hybridMultilevel"/>
    <w:tmpl w:val="D2BAA798"/>
    <w:lvl w:ilvl="0" w:tplc="17B491BA">
      <w:start w:val="1"/>
      <w:numFmt w:val="decimal"/>
      <w:lvlText w:val="%1."/>
      <w:lvlJc w:val="left"/>
      <w:pPr>
        <w:ind w:left="720" w:hanging="360"/>
      </w:pPr>
      <w:rPr>
        <w:rFonts w:ascii="Calibri" w:hAnsi="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EE6633"/>
    <w:multiLevelType w:val="hybridMultilevel"/>
    <w:tmpl w:val="0A36F5CA"/>
    <w:lvl w:ilvl="0" w:tplc="04090001">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FD20A4"/>
    <w:multiLevelType w:val="multilevel"/>
    <w:tmpl w:val="3B824D94"/>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368291B"/>
    <w:multiLevelType w:val="multilevel"/>
    <w:tmpl w:val="605C1546"/>
    <w:lvl w:ilvl="0">
      <w:start w:val="1"/>
      <w:numFmt w:val="bullet"/>
      <w:lvlText w:val=""/>
      <w:lvlJc w:val="left"/>
      <w:pPr>
        <w:ind w:left="576" w:hanging="180"/>
      </w:pPr>
      <w:rPr>
        <w:rFonts w:ascii="Symbol" w:hAnsi="Symbol" w:hint="default"/>
        <w:color w:val="000000" w:themeColor="text1"/>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52D05F6"/>
    <w:multiLevelType w:val="multilevel"/>
    <w:tmpl w:val="3B824D94"/>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5B338C3"/>
    <w:multiLevelType w:val="multilevel"/>
    <w:tmpl w:val="A7306CF6"/>
    <w:lvl w:ilvl="0">
      <w:start w:val="1"/>
      <w:numFmt w:val="bullet"/>
      <w:lvlText w:val=""/>
      <w:lvlJc w:val="left"/>
      <w:pPr>
        <w:ind w:left="576" w:hanging="180"/>
      </w:pPr>
      <w:rPr>
        <w:rFonts w:ascii="Symbol" w:hAnsi="Symbol" w:hint="default"/>
        <w:color w:val="000000" w:themeColor="text1"/>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8720210"/>
    <w:multiLevelType w:val="multilevel"/>
    <w:tmpl w:val="C72C775C"/>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98D6F61"/>
    <w:multiLevelType w:val="hybridMultilevel"/>
    <w:tmpl w:val="6654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A91F23"/>
    <w:multiLevelType w:val="multilevel"/>
    <w:tmpl w:val="A6987D62"/>
    <w:lvl w:ilvl="0">
      <w:start w:val="1"/>
      <w:numFmt w:val="bullet"/>
      <w:pStyle w:val="ListBullet"/>
      <w:lvlText w:val=""/>
      <w:lvlJc w:val="left"/>
      <w:pPr>
        <w:ind w:left="576" w:hanging="180"/>
      </w:pPr>
      <w:rPr>
        <w:rFonts w:ascii="Symbol" w:hAnsi="Symbol" w:hint="default"/>
        <w:color w:val="000000" w:themeColor="text1"/>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5BF3D29"/>
    <w:multiLevelType w:val="multilevel"/>
    <w:tmpl w:val="3B824D94"/>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CA85A6F"/>
    <w:multiLevelType w:val="hybridMultilevel"/>
    <w:tmpl w:val="25EC3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D11436"/>
    <w:multiLevelType w:val="multilevel"/>
    <w:tmpl w:val="3B824D94"/>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99A007E"/>
    <w:multiLevelType w:val="hybridMultilevel"/>
    <w:tmpl w:val="35569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6F4C9C"/>
    <w:multiLevelType w:val="multilevel"/>
    <w:tmpl w:val="4D1CAEBC"/>
    <w:lvl w:ilvl="0">
      <w:start w:val="1"/>
      <w:numFmt w:val="bullet"/>
      <w:lvlText w:val=""/>
      <w:lvlJc w:val="left"/>
      <w:pPr>
        <w:ind w:left="576" w:hanging="180"/>
      </w:pPr>
      <w:rPr>
        <w:rFonts w:ascii="Symbol" w:hAnsi="Symbol"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4871EEF"/>
    <w:multiLevelType w:val="multilevel"/>
    <w:tmpl w:val="B79C75D8"/>
    <w:lvl w:ilvl="0">
      <w:start w:val="1"/>
      <w:numFmt w:val="bullet"/>
      <w:lvlText w:val=""/>
      <w:lvlJc w:val="left"/>
      <w:pPr>
        <w:ind w:left="576" w:hanging="180"/>
      </w:pPr>
      <w:rPr>
        <w:rFonts w:ascii="Symbol" w:hAnsi="Symbol" w:hint="default"/>
        <w:color w:val="000000" w:themeColor="text1"/>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6BF3FDA"/>
    <w:multiLevelType w:val="hybridMultilevel"/>
    <w:tmpl w:val="7BD2AB0C"/>
    <w:lvl w:ilvl="0" w:tplc="BF769EDA">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DD1802"/>
    <w:multiLevelType w:val="hybridMultilevel"/>
    <w:tmpl w:val="2F78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A8756F"/>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16cid:durableId="618875600">
    <w:abstractNumId w:val="14"/>
  </w:num>
  <w:num w:numId="2" w16cid:durableId="585727387">
    <w:abstractNumId w:val="10"/>
  </w:num>
  <w:num w:numId="3" w16cid:durableId="1371303455">
    <w:abstractNumId w:val="18"/>
  </w:num>
  <w:num w:numId="4" w16cid:durableId="1354183812">
    <w:abstractNumId w:val="43"/>
  </w:num>
  <w:num w:numId="5" w16cid:durableId="1681466621">
    <w:abstractNumId w:val="8"/>
  </w:num>
  <w:num w:numId="6" w16cid:durableId="1576429565">
    <w:abstractNumId w:val="3"/>
  </w:num>
  <w:num w:numId="7" w16cid:durableId="518929436">
    <w:abstractNumId w:val="2"/>
  </w:num>
  <w:num w:numId="8" w16cid:durableId="1107891967">
    <w:abstractNumId w:val="1"/>
  </w:num>
  <w:num w:numId="9" w16cid:durableId="2053847984">
    <w:abstractNumId w:val="0"/>
  </w:num>
  <w:num w:numId="10" w16cid:durableId="728267145">
    <w:abstractNumId w:val="9"/>
  </w:num>
  <w:num w:numId="11" w16cid:durableId="1646619425">
    <w:abstractNumId w:val="7"/>
  </w:num>
  <w:num w:numId="12" w16cid:durableId="1660116806">
    <w:abstractNumId w:val="6"/>
  </w:num>
  <w:num w:numId="13" w16cid:durableId="1807776384">
    <w:abstractNumId w:val="5"/>
  </w:num>
  <w:num w:numId="14" w16cid:durableId="62801277">
    <w:abstractNumId w:val="4"/>
  </w:num>
  <w:num w:numId="15" w16cid:durableId="966085512">
    <w:abstractNumId w:val="27"/>
  </w:num>
  <w:num w:numId="16" w16cid:durableId="601454683">
    <w:abstractNumId w:val="35"/>
  </w:num>
  <w:num w:numId="17" w16cid:durableId="2034067347">
    <w:abstractNumId w:val="39"/>
  </w:num>
  <w:num w:numId="18" w16cid:durableId="470175964">
    <w:abstractNumId w:val="28"/>
  </w:num>
  <w:num w:numId="19" w16cid:durableId="1623000392">
    <w:abstractNumId w:val="29"/>
  </w:num>
  <w:num w:numId="20" w16cid:durableId="1215194954">
    <w:abstractNumId w:val="30"/>
  </w:num>
  <w:num w:numId="21" w16cid:durableId="1326781977">
    <w:abstractNumId w:val="40"/>
  </w:num>
  <w:num w:numId="22" w16cid:durableId="1138256223">
    <w:abstractNumId w:val="11"/>
  </w:num>
  <w:num w:numId="23" w16cid:durableId="1359696154">
    <w:abstractNumId w:val="21"/>
  </w:num>
  <w:num w:numId="24" w16cid:durableId="1324355821">
    <w:abstractNumId w:val="12"/>
  </w:num>
  <w:num w:numId="25" w16cid:durableId="1120536909">
    <w:abstractNumId w:val="25"/>
  </w:num>
  <w:num w:numId="26" w16cid:durableId="174806650">
    <w:abstractNumId w:val="31"/>
  </w:num>
  <w:num w:numId="27" w16cid:durableId="1669749896">
    <w:abstractNumId w:val="37"/>
  </w:num>
  <w:num w:numId="28" w16cid:durableId="23754573">
    <w:abstractNumId w:val="32"/>
  </w:num>
  <w:num w:numId="29" w16cid:durableId="526868492">
    <w:abstractNumId w:val="15"/>
  </w:num>
  <w:num w:numId="30" w16cid:durableId="1403940452">
    <w:abstractNumId w:val="24"/>
  </w:num>
  <w:num w:numId="31" w16cid:durableId="1604721662">
    <w:abstractNumId w:val="13"/>
  </w:num>
  <w:num w:numId="32" w16cid:durableId="1447193593">
    <w:abstractNumId w:val="34"/>
  </w:num>
  <w:num w:numId="33" w16cid:durableId="1131707442">
    <w:abstractNumId w:val="17"/>
  </w:num>
  <w:num w:numId="34" w16cid:durableId="1886943450">
    <w:abstractNumId w:val="36"/>
  </w:num>
  <w:num w:numId="35" w16cid:durableId="514659360">
    <w:abstractNumId w:val="33"/>
  </w:num>
  <w:num w:numId="36" w16cid:durableId="926113630">
    <w:abstractNumId w:val="16"/>
  </w:num>
  <w:num w:numId="37" w16cid:durableId="162742591">
    <w:abstractNumId w:val="41"/>
  </w:num>
  <w:num w:numId="38" w16cid:durableId="724447963">
    <w:abstractNumId w:val="20"/>
  </w:num>
  <w:num w:numId="39" w16cid:durableId="1721131889">
    <w:abstractNumId w:val="23"/>
  </w:num>
  <w:num w:numId="40" w16cid:durableId="321786590">
    <w:abstractNumId w:val="42"/>
  </w:num>
  <w:num w:numId="41" w16cid:durableId="8528422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690468">
    <w:abstractNumId w:val="38"/>
  </w:num>
  <w:num w:numId="43" w16cid:durableId="660504378">
    <w:abstractNumId w:val="19"/>
  </w:num>
  <w:num w:numId="44" w16cid:durableId="181213882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B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1"/>
  <w:stylePaneSortMethod w:val="0000"/>
  <w:revisionView w:inkAnnotations="0"/>
  <w:documentProtection w:edit="readOnly"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ignmentLabel" w:val="P2011-117NA"/>
    <w:docVar w:name="AssignmentNumber" w:val="P2011-117NA"/>
    <w:docVar w:name="CandidateProfile" w:val="Candidate Profile"/>
    <w:docVar w:name="City" w:val="Chicago"/>
    <w:docVar w:name="ClientCompany" w:val="Client Company"/>
    <w:docVar w:name="ClientCompanyAndWebsite" w:val="Client Company"/>
    <w:docVar w:name="Contact" w:val="Contact"/>
    <w:docVar w:name="Highlights" w:val="In terms of the performance and personal competencies required for the position, we would highlight the following:"/>
    <w:docVar w:name="HomeOUCode" w:val="US-CHI"/>
    <w:docVar w:name="JobTitle" w:val="Chief Financial Officer"/>
    <w:docVar w:name="Language" w:val="English"/>
    <w:docVar w:name="LanguageCode" w:val="EN"/>
    <w:docVar w:name="LanguageShort" w:val="Engl"/>
    <w:docVar w:name="OurClient" w:val="Our Client"/>
    <w:docVar w:name="Page1NumFormat" w:val="~!1!~ of ~!2!~"/>
    <w:docVar w:name="Page2NumFormat" w:val="~!1!~ of ~!2!~"/>
    <w:docVar w:name="PaperSize" w:val="Letter"/>
    <w:docVar w:name="PositionSpecification" w:val="Position Specification"/>
    <w:docVar w:name="PrivateAndConfidential" w:val="Private and Confidential"/>
    <w:docVar w:name="Ref" w:val="Ref:"/>
    <w:docVar w:name="RRAContact_ADDRESS" w:val="[ADDRESS]"/>
    <w:docVar w:name="RRAContact_COMPANY" w:val="[COMPANY]"/>
    <w:docVar w:name="RRAContact_COMPANYPHONE" w:val="[COMPANY PHONE]"/>
    <w:docVar w:name="RRAContact_DIRECTPHONE" w:val="[DIRECT PHONE]"/>
    <w:docVar w:name="RRAContact_EMAIL" w:val="[EMAIL]"/>
    <w:docVar w:name="RRAContact_FAX" w:val="[FAX]"/>
    <w:docVar w:name="RRAContact_MOBILE" w:val="[MOBILE]"/>
    <w:docVar w:name="RRAContact_NAME" w:val="[NAME]"/>
    <w:docVar w:name="rrApplication" w:val="WORD.APPLICATION"/>
    <w:docVar w:name="rrAssigNm" w:val="P2011-117NA"/>
    <w:docVar w:name="rrAttributes" w:val="1001|560017375|1003|P2011-117NA|1002|SPEC|"/>
    <w:docVar w:name="rrAuthorN" w:val="CLAMET"/>
    <w:docVar w:name="rrCabinetId" w:val="NG-H7R65XOW"/>
    <w:docVar w:name="rrClientD" w:val="560017375"/>
    <w:docVar w:name="rrCompany" w:val="560017375"/>
    <w:docVar w:name="rrDescptn" w:val="Position Spec for Chief Financial Officer, Client Company"/>
    <w:docVar w:name="rrDocName" w:val="SPEC - Client Company (Chief Financial Officer)"/>
    <w:docVar w:name="rrDocType" w:val="SPEC"/>
    <w:docVar w:name="rrPath" w:val="CA-21XNCJCT/NG-H7R65XOW"/>
    <w:docVar w:name="rrPersonD" w:val=" "/>
    <w:docVar w:name="rrRepositoryId" w:val="CA-21XNCJCT"/>
    <w:docVar w:name="rrzDocumentManagementFlag" w:val="Office 2016, NetDocuments"/>
    <w:docVar w:name="TheRole" w:val="The Role"/>
    <w:docVar w:name="Version" w:val="2.0"/>
    <w:docVar w:name="WindowsLanguageCode" w:val="1033"/>
    <w:docVar w:name="zProjLabOriginalXML" w:val="P2011-117NA"/>
  </w:docVars>
  <w:rsids>
    <w:rsidRoot w:val="00D37201"/>
    <w:rsid w:val="0000026E"/>
    <w:rsid w:val="000002E4"/>
    <w:rsid w:val="00000C23"/>
    <w:rsid w:val="00002EB4"/>
    <w:rsid w:val="00003E0E"/>
    <w:rsid w:val="000047E3"/>
    <w:rsid w:val="00004C39"/>
    <w:rsid w:val="000055BF"/>
    <w:rsid w:val="0000567D"/>
    <w:rsid w:val="000057D7"/>
    <w:rsid w:val="0000717D"/>
    <w:rsid w:val="00007A48"/>
    <w:rsid w:val="00007BE6"/>
    <w:rsid w:val="00007D85"/>
    <w:rsid w:val="00010137"/>
    <w:rsid w:val="00010B0B"/>
    <w:rsid w:val="00010FA2"/>
    <w:rsid w:val="000115A1"/>
    <w:rsid w:val="000115FB"/>
    <w:rsid w:val="00012280"/>
    <w:rsid w:val="00012DD9"/>
    <w:rsid w:val="00013135"/>
    <w:rsid w:val="000135F6"/>
    <w:rsid w:val="00016228"/>
    <w:rsid w:val="00016934"/>
    <w:rsid w:val="0001700A"/>
    <w:rsid w:val="0001767A"/>
    <w:rsid w:val="00020AB1"/>
    <w:rsid w:val="00021612"/>
    <w:rsid w:val="00021684"/>
    <w:rsid w:val="00021732"/>
    <w:rsid w:val="00021A7A"/>
    <w:rsid w:val="00022AB5"/>
    <w:rsid w:val="00024291"/>
    <w:rsid w:val="000245CB"/>
    <w:rsid w:val="0002462A"/>
    <w:rsid w:val="00024F83"/>
    <w:rsid w:val="0002515A"/>
    <w:rsid w:val="00027B3D"/>
    <w:rsid w:val="000301EB"/>
    <w:rsid w:val="000318CA"/>
    <w:rsid w:val="00031B12"/>
    <w:rsid w:val="00031F80"/>
    <w:rsid w:val="0003204D"/>
    <w:rsid w:val="000326D8"/>
    <w:rsid w:val="00032868"/>
    <w:rsid w:val="00032A53"/>
    <w:rsid w:val="00033127"/>
    <w:rsid w:val="00033A8C"/>
    <w:rsid w:val="0003402F"/>
    <w:rsid w:val="000347D8"/>
    <w:rsid w:val="00034833"/>
    <w:rsid w:val="00035C33"/>
    <w:rsid w:val="000363B2"/>
    <w:rsid w:val="00036F40"/>
    <w:rsid w:val="00037C07"/>
    <w:rsid w:val="00040555"/>
    <w:rsid w:val="00041911"/>
    <w:rsid w:val="00041987"/>
    <w:rsid w:val="000420FA"/>
    <w:rsid w:val="000446B7"/>
    <w:rsid w:val="00045363"/>
    <w:rsid w:val="000466FA"/>
    <w:rsid w:val="00047FDB"/>
    <w:rsid w:val="000506E7"/>
    <w:rsid w:val="00051D54"/>
    <w:rsid w:val="0005221F"/>
    <w:rsid w:val="000522CF"/>
    <w:rsid w:val="000526A8"/>
    <w:rsid w:val="00052950"/>
    <w:rsid w:val="00052BDA"/>
    <w:rsid w:val="0005326F"/>
    <w:rsid w:val="000552A8"/>
    <w:rsid w:val="0005551A"/>
    <w:rsid w:val="00055521"/>
    <w:rsid w:val="000556E8"/>
    <w:rsid w:val="000567E8"/>
    <w:rsid w:val="000570E7"/>
    <w:rsid w:val="00057EC6"/>
    <w:rsid w:val="00060024"/>
    <w:rsid w:val="00060C4E"/>
    <w:rsid w:val="0006206D"/>
    <w:rsid w:val="00062D3F"/>
    <w:rsid w:val="00062F31"/>
    <w:rsid w:val="00064617"/>
    <w:rsid w:val="00064882"/>
    <w:rsid w:val="000656CE"/>
    <w:rsid w:val="00066D92"/>
    <w:rsid w:val="00066FD2"/>
    <w:rsid w:val="000671EC"/>
    <w:rsid w:val="00067847"/>
    <w:rsid w:val="00067EBC"/>
    <w:rsid w:val="00073554"/>
    <w:rsid w:val="000737D4"/>
    <w:rsid w:val="000741AF"/>
    <w:rsid w:val="00074571"/>
    <w:rsid w:val="00074770"/>
    <w:rsid w:val="00075596"/>
    <w:rsid w:val="00075AB4"/>
    <w:rsid w:val="0007617D"/>
    <w:rsid w:val="00077020"/>
    <w:rsid w:val="000772A5"/>
    <w:rsid w:val="00077DB0"/>
    <w:rsid w:val="00081F5D"/>
    <w:rsid w:val="0008259B"/>
    <w:rsid w:val="00083905"/>
    <w:rsid w:val="00084E19"/>
    <w:rsid w:val="000850A2"/>
    <w:rsid w:val="00085AD1"/>
    <w:rsid w:val="00086831"/>
    <w:rsid w:val="00086B13"/>
    <w:rsid w:val="00086D08"/>
    <w:rsid w:val="0008752C"/>
    <w:rsid w:val="00087600"/>
    <w:rsid w:val="000876E9"/>
    <w:rsid w:val="00087DB0"/>
    <w:rsid w:val="00090247"/>
    <w:rsid w:val="000928D0"/>
    <w:rsid w:val="00093A3B"/>
    <w:rsid w:val="0009486A"/>
    <w:rsid w:val="00095659"/>
    <w:rsid w:val="000959E4"/>
    <w:rsid w:val="00097960"/>
    <w:rsid w:val="00097B3C"/>
    <w:rsid w:val="000A018D"/>
    <w:rsid w:val="000A1128"/>
    <w:rsid w:val="000A36BA"/>
    <w:rsid w:val="000A36E0"/>
    <w:rsid w:val="000A377E"/>
    <w:rsid w:val="000A3B42"/>
    <w:rsid w:val="000A3B7C"/>
    <w:rsid w:val="000A3FBF"/>
    <w:rsid w:val="000A47B3"/>
    <w:rsid w:val="000A4CF1"/>
    <w:rsid w:val="000A555A"/>
    <w:rsid w:val="000A67C8"/>
    <w:rsid w:val="000A6E7D"/>
    <w:rsid w:val="000B01BA"/>
    <w:rsid w:val="000B08F6"/>
    <w:rsid w:val="000B09A8"/>
    <w:rsid w:val="000B119F"/>
    <w:rsid w:val="000B11BB"/>
    <w:rsid w:val="000B150D"/>
    <w:rsid w:val="000B279E"/>
    <w:rsid w:val="000B29EB"/>
    <w:rsid w:val="000B30C5"/>
    <w:rsid w:val="000B40AB"/>
    <w:rsid w:val="000B43EF"/>
    <w:rsid w:val="000B53A6"/>
    <w:rsid w:val="000B638A"/>
    <w:rsid w:val="000B673F"/>
    <w:rsid w:val="000B7E73"/>
    <w:rsid w:val="000C099B"/>
    <w:rsid w:val="000C0AA7"/>
    <w:rsid w:val="000C1464"/>
    <w:rsid w:val="000C15C0"/>
    <w:rsid w:val="000C2310"/>
    <w:rsid w:val="000C23F6"/>
    <w:rsid w:val="000C248D"/>
    <w:rsid w:val="000C2829"/>
    <w:rsid w:val="000C33E8"/>
    <w:rsid w:val="000C3A44"/>
    <w:rsid w:val="000C4089"/>
    <w:rsid w:val="000C661E"/>
    <w:rsid w:val="000C71F4"/>
    <w:rsid w:val="000D015D"/>
    <w:rsid w:val="000D1B94"/>
    <w:rsid w:val="000D1BEB"/>
    <w:rsid w:val="000D31CD"/>
    <w:rsid w:val="000D357F"/>
    <w:rsid w:val="000D3E66"/>
    <w:rsid w:val="000D44D7"/>
    <w:rsid w:val="000D4EF1"/>
    <w:rsid w:val="000D51DD"/>
    <w:rsid w:val="000D601C"/>
    <w:rsid w:val="000D6827"/>
    <w:rsid w:val="000D6E98"/>
    <w:rsid w:val="000E03F4"/>
    <w:rsid w:val="000E1050"/>
    <w:rsid w:val="000E1687"/>
    <w:rsid w:val="000E2374"/>
    <w:rsid w:val="000E2CE3"/>
    <w:rsid w:val="000E3579"/>
    <w:rsid w:val="000E77F5"/>
    <w:rsid w:val="000E7AF7"/>
    <w:rsid w:val="000E7CD4"/>
    <w:rsid w:val="000F05C9"/>
    <w:rsid w:val="000F0C6B"/>
    <w:rsid w:val="000F12E6"/>
    <w:rsid w:val="000F13B1"/>
    <w:rsid w:val="000F1764"/>
    <w:rsid w:val="000F17CA"/>
    <w:rsid w:val="000F1A05"/>
    <w:rsid w:val="000F1BE6"/>
    <w:rsid w:val="000F2B8F"/>
    <w:rsid w:val="000F394A"/>
    <w:rsid w:val="000F46E7"/>
    <w:rsid w:val="000F4CF1"/>
    <w:rsid w:val="000F5E3A"/>
    <w:rsid w:val="000F632D"/>
    <w:rsid w:val="000F75C5"/>
    <w:rsid w:val="001002B6"/>
    <w:rsid w:val="00100A06"/>
    <w:rsid w:val="001024EC"/>
    <w:rsid w:val="001025CB"/>
    <w:rsid w:val="0010269A"/>
    <w:rsid w:val="00103EDB"/>
    <w:rsid w:val="00105BCC"/>
    <w:rsid w:val="00106A59"/>
    <w:rsid w:val="00106EFE"/>
    <w:rsid w:val="0010712A"/>
    <w:rsid w:val="001100EE"/>
    <w:rsid w:val="001113A9"/>
    <w:rsid w:val="00112CDA"/>
    <w:rsid w:val="00113708"/>
    <w:rsid w:val="00116407"/>
    <w:rsid w:val="00117345"/>
    <w:rsid w:val="00117857"/>
    <w:rsid w:val="0012160C"/>
    <w:rsid w:val="001216CB"/>
    <w:rsid w:val="0012189D"/>
    <w:rsid w:val="00122B9F"/>
    <w:rsid w:val="0012325B"/>
    <w:rsid w:val="001236A2"/>
    <w:rsid w:val="001238E1"/>
    <w:rsid w:val="00124879"/>
    <w:rsid w:val="00124A94"/>
    <w:rsid w:val="00125156"/>
    <w:rsid w:val="00126E83"/>
    <w:rsid w:val="00127C10"/>
    <w:rsid w:val="00130030"/>
    <w:rsid w:val="001307A0"/>
    <w:rsid w:val="00130BB0"/>
    <w:rsid w:val="00130E7F"/>
    <w:rsid w:val="00131515"/>
    <w:rsid w:val="00131AD8"/>
    <w:rsid w:val="00132869"/>
    <w:rsid w:val="00132BCF"/>
    <w:rsid w:val="00132C3A"/>
    <w:rsid w:val="00133ACE"/>
    <w:rsid w:val="00133E4E"/>
    <w:rsid w:val="00134238"/>
    <w:rsid w:val="001348C8"/>
    <w:rsid w:val="001349F7"/>
    <w:rsid w:val="0013523C"/>
    <w:rsid w:val="00135651"/>
    <w:rsid w:val="00136139"/>
    <w:rsid w:val="0013687C"/>
    <w:rsid w:val="00136EC4"/>
    <w:rsid w:val="001378D9"/>
    <w:rsid w:val="001405CE"/>
    <w:rsid w:val="00142359"/>
    <w:rsid w:val="00143469"/>
    <w:rsid w:val="001446BE"/>
    <w:rsid w:val="00144D69"/>
    <w:rsid w:val="001459DF"/>
    <w:rsid w:val="00145D07"/>
    <w:rsid w:val="00146D5C"/>
    <w:rsid w:val="001477BF"/>
    <w:rsid w:val="001516A5"/>
    <w:rsid w:val="0015277D"/>
    <w:rsid w:val="001538A2"/>
    <w:rsid w:val="00153DB2"/>
    <w:rsid w:val="001550FA"/>
    <w:rsid w:val="00156A20"/>
    <w:rsid w:val="00157692"/>
    <w:rsid w:val="001605BC"/>
    <w:rsid w:val="00160822"/>
    <w:rsid w:val="00161733"/>
    <w:rsid w:val="001617E2"/>
    <w:rsid w:val="0016186E"/>
    <w:rsid w:val="00161D59"/>
    <w:rsid w:val="00163910"/>
    <w:rsid w:val="00163940"/>
    <w:rsid w:val="00163955"/>
    <w:rsid w:val="001640CF"/>
    <w:rsid w:val="0016516A"/>
    <w:rsid w:val="00166773"/>
    <w:rsid w:val="00166BA7"/>
    <w:rsid w:val="00167D3A"/>
    <w:rsid w:val="00167F20"/>
    <w:rsid w:val="001704D2"/>
    <w:rsid w:val="00170B9A"/>
    <w:rsid w:val="00171203"/>
    <w:rsid w:val="00171AD9"/>
    <w:rsid w:val="001725AD"/>
    <w:rsid w:val="00173A35"/>
    <w:rsid w:val="0017469C"/>
    <w:rsid w:val="00175649"/>
    <w:rsid w:val="001756DC"/>
    <w:rsid w:val="001761F7"/>
    <w:rsid w:val="0017647B"/>
    <w:rsid w:val="00176D0E"/>
    <w:rsid w:val="001803B1"/>
    <w:rsid w:val="00180688"/>
    <w:rsid w:val="00180ED8"/>
    <w:rsid w:val="001816A3"/>
    <w:rsid w:val="00181A9D"/>
    <w:rsid w:val="00181D73"/>
    <w:rsid w:val="00183221"/>
    <w:rsid w:val="001838A4"/>
    <w:rsid w:val="00185BAD"/>
    <w:rsid w:val="001873CA"/>
    <w:rsid w:val="00187417"/>
    <w:rsid w:val="00187A60"/>
    <w:rsid w:val="00191A04"/>
    <w:rsid w:val="0019231E"/>
    <w:rsid w:val="001926B0"/>
    <w:rsid w:val="00192DDD"/>
    <w:rsid w:val="001942D7"/>
    <w:rsid w:val="00197673"/>
    <w:rsid w:val="001A0ED9"/>
    <w:rsid w:val="001A0EE5"/>
    <w:rsid w:val="001A1242"/>
    <w:rsid w:val="001A12D6"/>
    <w:rsid w:val="001A17FD"/>
    <w:rsid w:val="001A1A7F"/>
    <w:rsid w:val="001A2358"/>
    <w:rsid w:val="001A34BC"/>
    <w:rsid w:val="001A3927"/>
    <w:rsid w:val="001A439A"/>
    <w:rsid w:val="001A7004"/>
    <w:rsid w:val="001A7F17"/>
    <w:rsid w:val="001B1D00"/>
    <w:rsid w:val="001B2194"/>
    <w:rsid w:val="001B22A0"/>
    <w:rsid w:val="001B2860"/>
    <w:rsid w:val="001B290D"/>
    <w:rsid w:val="001B2B47"/>
    <w:rsid w:val="001B30D4"/>
    <w:rsid w:val="001B3CE9"/>
    <w:rsid w:val="001B4413"/>
    <w:rsid w:val="001B556F"/>
    <w:rsid w:val="001B6BB8"/>
    <w:rsid w:val="001B6C4D"/>
    <w:rsid w:val="001C0D94"/>
    <w:rsid w:val="001C154D"/>
    <w:rsid w:val="001C1693"/>
    <w:rsid w:val="001C3288"/>
    <w:rsid w:val="001C4868"/>
    <w:rsid w:val="001C4F12"/>
    <w:rsid w:val="001C5DEF"/>
    <w:rsid w:val="001C712B"/>
    <w:rsid w:val="001C735A"/>
    <w:rsid w:val="001D08FB"/>
    <w:rsid w:val="001D1408"/>
    <w:rsid w:val="001D2616"/>
    <w:rsid w:val="001D416B"/>
    <w:rsid w:val="001D4311"/>
    <w:rsid w:val="001D4D67"/>
    <w:rsid w:val="001D55F5"/>
    <w:rsid w:val="001D60C5"/>
    <w:rsid w:val="001D6476"/>
    <w:rsid w:val="001D67D2"/>
    <w:rsid w:val="001D7B4B"/>
    <w:rsid w:val="001D7F3C"/>
    <w:rsid w:val="001E0437"/>
    <w:rsid w:val="001E0C56"/>
    <w:rsid w:val="001E14A7"/>
    <w:rsid w:val="001E15E0"/>
    <w:rsid w:val="001E1DD2"/>
    <w:rsid w:val="001E2208"/>
    <w:rsid w:val="001E272F"/>
    <w:rsid w:val="001E33FF"/>
    <w:rsid w:val="001E3ECB"/>
    <w:rsid w:val="001E5201"/>
    <w:rsid w:val="001E6897"/>
    <w:rsid w:val="001E7E92"/>
    <w:rsid w:val="001F1358"/>
    <w:rsid w:val="001F1F42"/>
    <w:rsid w:val="001F2920"/>
    <w:rsid w:val="001F573B"/>
    <w:rsid w:val="001F6D41"/>
    <w:rsid w:val="00200008"/>
    <w:rsid w:val="002004B7"/>
    <w:rsid w:val="00200856"/>
    <w:rsid w:val="00200D04"/>
    <w:rsid w:val="0020316B"/>
    <w:rsid w:val="00203747"/>
    <w:rsid w:val="00203EF5"/>
    <w:rsid w:val="002041A6"/>
    <w:rsid w:val="0020423A"/>
    <w:rsid w:val="002044AA"/>
    <w:rsid w:val="00204E23"/>
    <w:rsid w:val="00205BB5"/>
    <w:rsid w:val="00206029"/>
    <w:rsid w:val="00210281"/>
    <w:rsid w:val="002106C6"/>
    <w:rsid w:val="00211A51"/>
    <w:rsid w:val="00212CDB"/>
    <w:rsid w:val="002130EB"/>
    <w:rsid w:val="00213426"/>
    <w:rsid w:val="0021509A"/>
    <w:rsid w:val="00215513"/>
    <w:rsid w:val="00215A9A"/>
    <w:rsid w:val="00215FBA"/>
    <w:rsid w:val="00217C6D"/>
    <w:rsid w:val="0022041A"/>
    <w:rsid w:val="00220C01"/>
    <w:rsid w:val="00221045"/>
    <w:rsid w:val="00221C20"/>
    <w:rsid w:val="0022201C"/>
    <w:rsid w:val="002221E5"/>
    <w:rsid w:val="00222350"/>
    <w:rsid w:val="00223359"/>
    <w:rsid w:val="00223376"/>
    <w:rsid w:val="002235C0"/>
    <w:rsid w:val="0022368A"/>
    <w:rsid w:val="002237DB"/>
    <w:rsid w:val="00224270"/>
    <w:rsid w:val="002250E1"/>
    <w:rsid w:val="002251D3"/>
    <w:rsid w:val="0022522C"/>
    <w:rsid w:val="002252C4"/>
    <w:rsid w:val="0022564E"/>
    <w:rsid w:val="00226054"/>
    <w:rsid w:val="002262D3"/>
    <w:rsid w:val="00226BA9"/>
    <w:rsid w:val="002275A0"/>
    <w:rsid w:val="002276FA"/>
    <w:rsid w:val="00227E4E"/>
    <w:rsid w:val="00233A83"/>
    <w:rsid w:val="00233C23"/>
    <w:rsid w:val="00233DDD"/>
    <w:rsid w:val="00236842"/>
    <w:rsid w:val="00240867"/>
    <w:rsid w:val="00241104"/>
    <w:rsid w:val="002411BA"/>
    <w:rsid w:val="00241DF4"/>
    <w:rsid w:val="00241EED"/>
    <w:rsid w:val="00241FBC"/>
    <w:rsid w:val="00242782"/>
    <w:rsid w:val="00242D5E"/>
    <w:rsid w:val="00243931"/>
    <w:rsid w:val="0024395A"/>
    <w:rsid w:val="00243EC0"/>
    <w:rsid w:val="002460E0"/>
    <w:rsid w:val="00246762"/>
    <w:rsid w:val="0024749D"/>
    <w:rsid w:val="00247E4A"/>
    <w:rsid w:val="002507A1"/>
    <w:rsid w:val="0025088C"/>
    <w:rsid w:val="00250969"/>
    <w:rsid w:val="00251186"/>
    <w:rsid w:val="00251B27"/>
    <w:rsid w:val="002520A9"/>
    <w:rsid w:val="00253EC8"/>
    <w:rsid w:val="00254082"/>
    <w:rsid w:val="00254896"/>
    <w:rsid w:val="00254C2F"/>
    <w:rsid w:val="00256B75"/>
    <w:rsid w:val="0025766B"/>
    <w:rsid w:val="00257C90"/>
    <w:rsid w:val="00260121"/>
    <w:rsid w:val="00260AE0"/>
    <w:rsid w:val="00260BD7"/>
    <w:rsid w:val="00260EF4"/>
    <w:rsid w:val="00261267"/>
    <w:rsid w:val="00262C97"/>
    <w:rsid w:val="002661E9"/>
    <w:rsid w:val="00266258"/>
    <w:rsid w:val="00266282"/>
    <w:rsid w:val="00266CED"/>
    <w:rsid w:val="0027047D"/>
    <w:rsid w:val="00270E5C"/>
    <w:rsid w:val="00271D44"/>
    <w:rsid w:val="00272C76"/>
    <w:rsid w:val="00272EA8"/>
    <w:rsid w:val="00273BF4"/>
    <w:rsid w:val="0027404E"/>
    <w:rsid w:val="00275471"/>
    <w:rsid w:val="00275662"/>
    <w:rsid w:val="002757BE"/>
    <w:rsid w:val="00276120"/>
    <w:rsid w:val="002775AE"/>
    <w:rsid w:val="00280520"/>
    <w:rsid w:val="00281DDE"/>
    <w:rsid w:val="002836A4"/>
    <w:rsid w:val="0028393C"/>
    <w:rsid w:val="002842C9"/>
    <w:rsid w:val="00287BA2"/>
    <w:rsid w:val="00287F56"/>
    <w:rsid w:val="00287F5D"/>
    <w:rsid w:val="00290508"/>
    <w:rsid w:val="002907DD"/>
    <w:rsid w:val="002923EB"/>
    <w:rsid w:val="0029261F"/>
    <w:rsid w:val="00293356"/>
    <w:rsid w:val="00294AE3"/>
    <w:rsid w:val="002952D8"/>
    <w:rsid w:val="00297456"/>
    <w:rsid w:val="002977DC"/>
    <w:rsid w:val="00297C22"/>
    <w:rsid w:val="002A02CE"/>
    <w:rsid w:val="002A211A"/>
    <w:rsid w:val="002A26F0"/>
    <w:rsid w:val="002A32FB"/>
    <w:rsid w:val="002A4FE2"/>
    <w:rsid w:val="002A5526"/>
    <w:rsid w:val="002A62D1"/>
    <w:rsid w:val="002A7601"/>
    <w:rsid w:val="002A76EC"/>
    <w:rsid w:val="002A77DA"/>
    <w:rsid w:val="002A77F0"/>
    <w:rsid w:val="002B1048"/>
    <w:rsid w:val="002B1D34"/>
    <w:rsid w:val="002B3095"/>
    <w:rsid w:val="002B3210"/>
    <w:rsid w:val="002B32CF"/>
    <w:rsid w:val="002B3E2E"/>
    <w:rsid w:val="002B539A"/>
    <w:rsid w:val="002C2690"/>
    <w:rsid w:val="002C2743"/>
    <w:rsid w:val="002C2A12"/>
    <w:rsid w:val="002C3E92"/>
    <w:rsid w:val="002C3F3E"/>
    <w:rsid w:val="002C472F"/>
    <w:rsid w:val="002C4CB6"/>
    <w:rsid w:val="002C4E1E"/>
    <w:rsid w:val="002C605E"/>
    <w:rsid w:val="002C6574"/>
    <w:rsid w:val="002C6629"/>
    <w:rsid w:val="002C677F"/>
    <w:rsid w:val="002D15E3"/>
    <w:rsid w:val="002D2AC3"/>
    <w:rsid w:val="002D5C7D"/>
    <w:rsid w:val="002D5EAC"/>
    <w:rsid w:val="002D6580"/>
    <w:rsid w:val="002D7485"/>
    <w:rsid w:val="002D749E"/>
    <w:rsid w:val="002E068C"/>
    <w:rsid w:val="002E0B64"/>
    <w:rsid w:val="002E0CC2"/>
    <w:rsid w:val="002E14F2"/>
    <w:rsid w:val="002E1817"/>
    <w:rsid w:val="002E2170"/>
    <w:rsid w:val="002E34F9"/>
    <w:rsid w:val="002E46A9"/>
    <w:rsid w:val="002E4B82"/>
    <w:rsid w:val="002E5234"/>
    <w:rsid w:val="002E57F2"/>
    <w:rsid w:val="002E57FB"/>
    <w:rsid w:val="002E5EC2"/>
    <w:rsid w:val="002E6609"/>
    <w:rsid w:val="002E672B"/>
    <w:rsid w:val="002E76BF"/>
    <w:rsid w:val="002F0141"/>
    <w:rsid w:val="002F064C"/>
    <w:rsid w:val="002F0CD2"/>
    <w:rsid w:val="002F0D12"/>
    <w:rsid w:val="002F1899"/>
    <w:rsid w:val="002F1E1E"/>
    <w:rsid w:val="002F22B4"/>
    <w:rsid w:val="002F280E"/>
    <w:rsid w:val="002F2EDD"/>
    <w:rsid w:val="002F55FD"/>
    <w:rsid w:val="002F6221"/>
    <w:rsid w:val="002F6B29"/>
    <w:rsid w:val="002F767C"/>
    <w:rsid w:val="00300AB4"/>
    <w:rsid w:val="00301328"/>
    <w:rsid w:val="00302897"/>
    <w:rsid w:val="003043E5"/>
    <w:rsid w:val="003046E9"/>
    <w:rsid w:val="00304960"/>
    <w:rsid w:val="0030496A"/>
    <w:rsid w:val="003053D7"/>
    <w:rsid w:val="00306028"/>
    <w:rsid w:val="003075AB"/>
    <w:rsid w:val="00307B1A"/>
    <w:rsid w:val="00307CA4"/>
    <w:rsid w:val="0031011F"/>
    <w:rsid w:val="00310773"/>
    <w:rsid w:val="00310B92"/>
    <w:rsid w:val="00310C89"/>
    <w:rsid w:val="00312257"/>
    <w:rsid w:val="003126E3"/>
    <w:rsid w:val="00313D10"/>
    <w:rsid w:val="003147F4"/>
    <w:rsid w:val="00316294"/>
    <w:rsid w:val="00317B04"/>
    <w:rsid w:val="00317C01"/>
    <w:rsid w:val="0032336E"/>
    <w:rsid w:val="00324140"/>
    <w:rsid w:val="003256FA"/>
    <w:rsid w:val="003275D6"/>
    <w:rsid w:val="003275DD"/>
    <w:rsid w:val="00327723"/>
    <w:rsid w:val="00327E5A"/>
    <w:rsid w:val="003305FE"/>
    <w:rsid w:val="00330B5F"/>
    <w:rsid w:val="00330D3E"/>
    <w:rsid w:val="003311B4"/>
    <w:rsid w:val="0033164D"/>
    <w:rsid w:val="00331A8D"/>
    <w:rsid w:val="00331C20"/>
    <w:rsid w:val="00332021"/>
    <w:rsid w:val="00332DA6"/>
    <w:rsid w:val="00334233"/>
    <w:rsid w:val="00335075"/>
    <w:rsid w:val="003352A1"/>
    <w:rsid w:val="00335AB7"/>
    <w:rsid w:val="003361D7"/>
    <w:rsid w:val="003365AF"/>
    <w:rsid w:val="00336CDC"/>
    <w:rsid w:val="003370AC"/>
    <w:rsid w:val="00337162"/>
    <w:rsid w:val="003373D4"/>
    <w:rsid w:val="003375AB"/>
    <w:rsid w:val="003378DE"/>
    <w:rsid w:val="0034033A"/>
    <w:rsid w:val="003407E1"/>
    <w:rsid w:val="00340D9B"/>
    <w:rsid w:val="003411B0"/>
    <w:rsid w:val="00342583"/>
    <w:rsid w:val="00342973"/>
    <w:rsid w:val="00343529"/>
    <w:rsid w:val="003437E4"/>
    <w:rsid w:val="003440C2"/>
    <w:rsid w:val="00345B06"/>
    <w:rsid w:val="0034608F"/>
    <w:rsid w:val="003462A5"/>
    <w:rsid w:val="00346B69"/>
    <w:rsid w:val="0035167F"/>
    <w:rsid w:val="0035204B"/>
    <w:rsid w:val="003523A6"/>
    <w:rsid w:val="0035254A"/>
    <w:rsid w:val="00352A6C"/>
    <w:rsid w:val="00352F18"/>
    <w:rsid w:val="00353614"/>
    <w:rsid w:val="00353985"/>
    <w:rsid w:val="003545FF"/>
    <w:rsid w:val="003560E4"/>
    <w:rsid w:val="003562AA"/>
    <w:rsid w:val="003564A1"/>
    <w:rsid w:val="0035667F"/>
    <w:rsid w:val="00356E10"/>
    <w:rsid w:val="003577F2"/>
    <w:rsid w:val="00361F7B"/>
    <w:rsid w:val="0036259D"/>
    <w:rsid w:val="003637CA"/>
    <w:rsid w:val="0036445B"/>
    <w:rsid w:val="00364C7D"/>
    <w:rsid w:val="003650B9"/>
    <w:rsid w:val="003653AB"/>
    <w:rsid w:val="003664DA"/>
    <w:rsid w:val="003664E4"/>
    <w:rsid w:val="00366D20"/>
    <w:rsid w:val="00366DA5"/>
    <w:rsid w:val="00367E58"/>
    <w:rsid w:val="00370685"/>
    <w:rsid w:val="003708D8"/>
    <w:rsid w:val="00370F02"/>
    <w:rsid w:val="00371416"/>
    <w:rsid w:val="00372311"/>
    <w:rsid w:val="003729D5"/>
    <w:rsid w:val="00372AEC"/>
    <w:rsid w:val="003742E8"/>
    <w:rsid w:val="00374468"/>
    <w:rsid w:val="003749F3"/>
    <w:rsid w:val="0037779B"/>
    <w:rsid w:val="00377F7D"/>
    <w:rsid w:val="003810CF"/>
    <w:rsid w:val="00381FBE"/>
    <w:rsid w:val="003821E6"/>
    <w:rsid w:val="00382A02"/>
    <w:rsid w:val="0038371D"/>
    <w:rsid w:val="003841F8"/>
    <w:rsid w:val="00384629"/>
    <w:rsid w:val="0038480B"/>
    <w:rsid w:val="00385EC1"/>
    <w:rsid w:val="00386082"/>
    <w:rsid w:val="003904DB"/>
    <w:rsid w:val="003912DC"/>
    <w:rsid w:val="003918B2"/>
    <w:rsid w:val="00392DF7"/>
    <w:rsid w:val="00392EC6"/>
    <w:rsid w:val="00393451"/>
    <w:rsid w:val="00393563"/>
    <w:rsid w:val="00393B20"/>
    <w:rsid w:val="0039628F"/>
    <w:rsid w:val="00396BF4"/>
    <w:rsid w:val="003A0C04"/>
    <w:rsid w:val="003A327F"/>
    <w:rsid w:val="003A4439"/>
    <w:rsid w:val="003A531B"/>
    <w:rsid w:val="003A6CB4"/>
    <w:rsid w:val="003A6F22"/>
    <w:rsid w:val="003A727C"/>
    <w:rsid w:val="003A75C4"/>
    <w:rsid w:val="003B0231"/>
    <w:rsid w:val="003B1355"/>
    <w:rsid w:val="003B154F"/>
    <w:rsid w:val="003B1973"/>
    <w:rsid w:val="003B1AF5"/>
    <w:rsid w:val="003B2B76"/>
    <w:rsid w:val="003B3499"/>
    <w:rsid w:val="003B4036"/>
    <w:rsid w:val="003B5451"/>
    <w:rsid w:val="003B5D5C"/>
    <w:rsid w:val="003B608E"/>
    <w:rsid w:val="003B74D2"/>
    <w:rsid w:val="003B7D4B"/>
    <w:rsid w:val="003C0E4C"/>
    <w:rsid w:val="003C1C9A"/>
    <w:rsid w:val="003C452F"/>
    <w:rsid w:val="003C5A58"/>
    <w:rsid w:val="003C7401"/>
    <w:rsid w:val="003D0A84"/>
    <w:rsid w:val="003D1893"/>
    <w:rsid w:val="003D1896"/>
    <w:rsid w:val="003D1D59"/>
    <w:rsid w:val="003D1F5B"/>
    <w:rsid w:val="003D233B"/>
    <w:rsid w:val="003D2AAC"/>
    <w:rsid w:val="003D38F4"/>
    <w:rsid w:val="003D41B0"/>
    <w:rsid w:val="003D41F4"/>
    <w:rsid w:val="003D4CD0"/>
    <w:rsid w:val="003D54C1"/>
    <w:rsid w:val="003D708E"/>
    <w:rsid w:val="003E0F6D"/>
    <w:rsid w:val="003E1EEC"/>
    <w:rsid w:val="003E1F2C"/>
    <w:rsid w:val="003E1F4A"/>
    <w:rsid w:val="003E34DF"/>
    <w:rsid w:val="003E40B0"/>
    <w:rsid w:val="003E4460"/>
    <w:rsid w:val="003E4D8B"/>
    <w:rsid w:val="003E5F1F"/>
    <w:rsid w:val="003E6C24"/>
    <w:rsid w:val="003E717A"/>
    <w:rsid w:val="003F0028"/>
    <w:rsid w:val="003F172F"/>
    <w:rsid w:val="003F1AD0"/>
    <w:rsid w:val="003F396E"/>
    <w:rsid w:val="003F3ABF"/>
    <w:rsid w:val="003F406C"/>
    <w:rsid w:val="003F436E"/>
    <w:rsid w:val="003F4A0B"/>
    <w:rsid w:val="003F51B8"/>
    <w:rsid w:val="003F5CEA"/>
    <w:rsid w:val="003F5D11"/>
    <w:rsid w:val="003F62AF"/>
    <w:rsid w:val="004001CC"/>
    <w:rsid w:val="00400C1D"/>
    <w:rsid w:val="00401033"/>
    <w:rsid w:val="00405895"/>
    <w:rsid w:val="00406499"/>
    <w:rsid w:val="004069E4"/>
    <w:rsid w:val="00406FBA"/>
    <w:rsid w:val="004074D8"/>
    <w:rsid w:val="00411025"/>
    <w:rsid w:val="00411704"/>
    <w:rsid w:val="00411C96"/>
    <w:rsid w:val="00411D3C"/>
    <w:rsid w:val="0041285C"/>
    <w:rsid w:val="004136F9"/>
    <w:rsid w:val="004139DA"/>
    <w:rsid w:val="00413D84"/>
    <w:rsid w:val="004147EA"/>
    <w:rsid w:val="004152B4"/>
    <w:rsid w:val="00415C8A"/>
    <w:rsid w:val="00415D05"/>
    <w:rsid w:val="0041669B"/>
    <w:rsid w:val="004167A7"/>
    <w:rsid w:val="004167EB"/>
    <w:rsid w:val="00416BEF"/>
    <w:rsid w:val="00420189"/>
    <w:rsid w:val="00420D48"/>
    <w:rsid w:val="00421966"/>
    <w:rsid w:val="00421B77"/>
    <w:rsid w:val="00422621"/>
    <w:rsid w:val="00422E95"/>
    <w:rsid w:val="004240F0"/>
    <w:rsid w:val="00424732"/>
    <w:rsid w:val="0042477E"/>
    <w:rsid w:val="00424FC8"/>
    <w:rsid w:val="00425BC3"/>
    <w:rsid w:val="00427F4B"/>
    <w:rsid w:val="004301E8"/>
    <w:rsid w:val="00431F61"/>
    <w:rsid w:val="004326AA"/>
    <w:rsid w:val="00432890"/>
    <w:rsid w:val="0043311C"/>
    <w:rsid w:val="00433352"/>
    <w:rsid w:val="00433E43"/>
    <w:rsid w:val="00434F92"/>
    <w:rsid w:val="0043612F"/>
    <w:rsid w:val="00437B6B"/>
    <w:rsid w:val="004403F1"/>
    <w:rsid w:val="004424DC"/>
    <w:rsid w:val="00442860"/>
    <w:rsid w:val="004430FD"/>
    <w:rsid w:val="0044434C"/>
    <w:rsid w:val="00445133"/>
    <w:rsid w:val="004465D8"/>
    <w:rsid w:val="0044660C"/>
    <w:rsid w:val="004468F9"/>
    <w:rsid w:val="0044728F"/>
    <w:rsid w:val="00447660"/>
    <w:rsid w:val="00447E3C"/>
    <w:rsid w:val="00450D10"/>
    <w:rsid w:val="00451960"/>
    <w:rsid w:val="00451E2C"/>
    <w:rsid w:val="004526A8"/>
    <w:rsid w:val="00452932"/>
    <w:rsid w:val="00452C2F"/>
    <w:rsid w:val="00453018"/>
    <w:rsid w:val="0045388A"/>
    <w:rsid w:val="00454529"/>
    <w:rsid w:val="0045495D"/>
    <w:rsid w:val="004549FC"/>
    <w:rsid w:val="00455148"/>
    <w:rsid w:val="00455450"/>
    <w:rsid w:val="0045601B"/>
    <w:rsid w:val="00456A78"/>
    <w:rsid w:val="00456B7B"/>
    <w:rsid w:val="004602CB"/>
    <w:rsid w:val="0046089D"/>
    <w:rsid w:val="004615D0"/>
    <w:rsid w:val="00461682"/>
    <w:rsid w:val="00461E15"/>
    <w:rsid w:val="00463B6E"/>
    <w:rsid w:val="00464233"/>
    <w:rsid w:val="004648AE"/>
    <w:rsid w:val="00464BFD"/>
    <w:rsid w:val="004658F6"/>
    <w:rsid w:val="00466D0A"/>
    <w:rsid w:val="00470146"/>
    <w:rsid w:val="00471BB2"/>
    <w:rsid w:val="00472530"/>
    <w:rsid w:val="00472F6B"/>
    <w:rsid w:val="00473089"/>
    <w:rsid w:val="00473F2E"/>
    <w:rsid w:val="00474C30"/>
    <w:rsid w:val="004752D9"/>
    <w:rsid w:val="004758A5"/>
    <w:rsid w:val="00475E25"/>
    <w:rsid w:val="0047684E"/>
    <w:rsid w:val="00477D89"/>
    <w:rsid w:val="0048058F"/>
    <w:rsid w:val="00482BE7"/>
    <w:rsid w:val="00482EE8"/>
    <w:rsid w:val="0048394B"/>
    <w:rsid w:val="004844B6"/>
    <w:rsid w:val="004845A3"/>
    <w:rsid w:val="00484AAC"/>
    <w:rsid w:val="00484F1C"/>
    <w:rsid w:val="00485CD2"/>
    <w:rsid w:val="004862BB"/>
    <w:rsid w:val="00486302"/>
    <w:rsid w:val="00486DDD"/>
    <w:rsid w:val="004872DD"/>
    <w:rsid w:val="004876CC"/>
    <w:rsid w:val="0049137F"/>
    <w:rsid w:val="004920BC"/>
    <w:rsid w:val="004930D1"/>
    <w:rsid w:val="00493889"/>
    <w:rsid w:val="00493F4F"/>
    <w:rsid w:val="0049426F"/>
    <w:rsid w:val="004947F5"/>
    <w:rsid w:val="00496776"/>
    <w:rsid w:val="00496959"/>
    <w:rsid w:val="004972D1"/>
    <w:rsid w:val="004975B4"/>
    <w:rsid w:val="00497F43"/>
    <w:rsid w:val="004A0037"/>
    <w:rsid w:val="004A0059"/>
    <w:rsid w:val="004A0B5B"/>
    <w:rsid w:val="004A1900"/>
    <w:rsid w:val="004A2012"/>
    <w:rsid w:val="004A230E"/>
    <w:rsid w:val="004A318A"/>
    <w:rsid w:val="004A34F8"/>
    <w:rsid w:val="004A3B46"/>
    <w:rsid w:val="004A411F"/>
    <w:rsid w:val="004A5DAC"/>
    <w:rsid w:val="004A6749"/>
    <w:rsid w:val="004A6BA3"/>
    <w:rsid w:val="004A70C8"/>
    <w:rsid w:val="004A71E0"/>
    <w:rsid w:val="004A7E60"/>
    <w:rsid w:val="004B0B9C"/>
    <w:rsid w:val="004B1230"/>
    <w:rsid w:val="004B1EE5"/>
    <w:rsid w:val="004B1FFD"/>
    <w:rsid w:val="004B246F"/>
    <w:rsid w:val="004B2B70"/>
    <w:rsid w:val="004B32A4"/>
    <w:rsid w:val="004B5003"/>
    <w:rsid w:val="004B5763"/>
    <w:rsid w:val="004B5AF5"/>
    <w:rsid w:val="004B6B30"/>
    <w:rsid w:val="004C0367"/>
    <w:rsid w:val="004C0AFC"/>
    <w:rsid w:val="004C1057"/>
    <w:rsid w:val="004C1318"/>
    <w:rsid w:val="004C1EDA"/>
    <w:rsid w:val="004C219E"/>
    <w:rsid w:val="004C35D0"/>
    <w:rsid w:val="004C3AA1"/>
    <w:rsid w:val="004C4B65"/>
    <w:rsid w:val="004C55C4"/>
    <w:rsid w:val="004C58EF"/>
    <w:rsid w:val="004C5D89"/>
    <w:rsid w:val="004C65F7"/>
    <w:rsid w:val="004C7C6B"/>
    <w:rsid w:val="004C7E4E"/>
    <w:rsid w:val="004D2D96"/>
    <w:rsid w:val="004D3558"/>
    <w:rsid w:val="004D37DC"/>
    <w:rsid w:val="004D7F21"/>
    <w:rsid w:val="004E0725"/>
    <w:rsid w:val="004E13F7"/>
    <w:rsid w:val="004E2B8E"/>
    <w:rsid w:val="004E3754"/>
    <w:rsid w:val="004E3E7D"/>
    <w:rsid w:val="004E4AFE"/>
    <w:rsid w:val="004E57A9"/>
    <w:rsid w:val="004F095A"/>
    <w:rsid w:val="004F09C6"/>
    <w:rsid w:val="004F1274"/>
    <w:rsid w:val="004F17DC"/>
    <w:rsid w:val="004F2651"/>
    <w:rsid w:val="004F4A1B"/>
    <w:rsid w:val="004F4FBF"/>
    <w:rsid w:val="004F56A7"/>
    <w:rsid w:val="004F56E9"/>
    <w:rsid w:val="004F5B17"/>
    <w:rsid w:val="004F6703"/>
    <w:rsid w:val="005003B1"/>
    <w:rsid w:val="00500A3A"/>
    <w:rsid w:val="00501556"/>
    <w:rsid w:val="00501B9D"/>
    <w:rsid w:val="0050248F"/>
    <w:rsid w:val="00502B8F"/>
    <w:rsid w:val="00502FBB"/>
    <w:rsid w:val="0050332F"/>
    <w:rsid w:val="00503CA9"/>
    <w:rsid w:val="00504A32"/>
    <w:rsid w:val="00504E57"/>
    <w:rsid w:val="00505220"/>
    <w:rsid w:val="005056DD"/>
    <w:rsid w:val="00505826"/>
    <w:rsid w:val="00506024"/>
    <w:rsid w:val="00506862"/>
    <w:rsid w:val="00507FEB"/>
    <w:rsid w:val="00510399"/>
    <w:rsid w:val="005104E3"/>
    <w:rsid w:val="00510607"/>
    <w:rsid w:val="00510FE4"/>
    <w:rsid w:val="00511441"/>
    <w:rsid w:val="00511D4B"/>
    <w:rsid w:val="005124CF"/>
    <w:rsid w:val="005130A6"/>
    <w:rsid w:val="005133B3"/>
    <w:rsid w:val="00513BD6"/>
    <w:rsid w:val="005141F0"/>
    <w:rsid w:val="00514DA7"/>
    <w:rsid w:val="005158AB"/>
    <w:rsid w:val="00515D28"/>
    <w:rsid w:val="00516C4F"/>
    <w:rsid w:val="005170EA"/>
    <w:rsid w:val="005200A1"/>
    <w:rsid w:val="005207F7"/>
    <w:rsid w:val="00520ACB"/>
    <w:rsid w:val="0052430E"/>
    <w:rsid w:val="005247C4"/>
    <w:rsid w:val="00524D58"/>
    <w:rsid w:val="0052527E"/>
    <w:rsid w:val="00526771"/>
    <w:rsid w:val="0052702C"/>
    <w:rsid w:val="005272D8"/>
    <w:rsid w:val="0052775C"/>
    <w:rsid w:val="00527AB5"/>
    <w:rsid w:val="00527D09"/>
    <w:rsid w:val="00530CB7"/>
    <w:rsid w:val="00531A33"/>
    <w:rsid w:val="00532477"/>
    <w:rsid w:val="00533FA0"/>
    <w:rsid w:val="005351F4"/>
    <w:rsid w:val="0053541D"/>
    <w:rsid w:val="00535B38"/>
    <w:rsid w:val="00535CBA"/>
    <w:rsid w:val="00535D59"/>
    <w:rsid w:val="00536C62"/>
    <w:rsid w:val="0054004E"/>
    <w:rsid w:val="00540F7A"/>
    <w:rsid w:val="005413D8"/>
    <w:rsid w:val="0054165C"/>
    <w:rsid w:val="00541DDE"/>
    <w:rsid w:val="0054245C"/>
    <w:rsid w:val="00542649"/>
    <w:rsid w:val="005430B7"/>
    <w:rsid w:val="00543737"/>
    <w:rsid w:val="005438A5"/>
    <w:rsid w:val="00544377"/>
    <w:rsid w:val="00545237"/>
    <w:rsid w:val="00545A14"/>
    <w:rsid w:val="00545C1B"/>
    <w:rsid w:val="00545D3E"/>
    <w:rsid w:val="00546479"/>
    <w:rsid w:val="00547073"/>
    <w:rsid w:val="00551C7C"/>
    <w:rsid w:val="005530BF"/>
    <w:rsid w:val="00553111"/>
    <w:rsid w:val="00553918"/>
    <w:rsid w:val="00553B12"/>
    <w:rsid w:val="00553D4F"/>
    <w:rsid w:val="0055480A"/>
    <w:rsid w:val="0055481A"/>
    <w:rsid w:val="00554AEC"/>
    <w:rsid w:val="00554B5D"/>
    <w:rsid w:val="00555EC9"/>
    <w:rsid w:val="0055667B"/>
    <w:rsid w:val="005574B2"/>
    <w:rsid w:val="0056101F"/>
    <w:rsid w:val="00563449"/>
    <w:rsid w:val="005639FC"/>
    <w:rsid w:val="0056500E"/>
    <w:rsid w:val="005652B0"/>
    <w:rsid w:val="00565E1C"/>
    <w:rsid w:val="00566804"/>
    <w:rsid w:val="00566949"/>
    <w:rsid w:val="00567061"/>
    <w:rsid w:val="0056767A"/>
    <w:rsid w:val="00567DC3"/>
    <w:rsid w:val="00571A3F"/>
    <w:rsid w:val="00572BF5"/>
    <w:rsid w:val="00572C79"/>
    <w:rsid w:val="0057327F"/>
    <w:rsid w:val="00575388"/>
    <w:rsid w:val="0057565C"/>
    <w:rsid w:val="00575B7B"/>
    <w:rsid w:val="0057614C"/>
    <w:rsid w:val="00577F02"/>
    <w:rsid w:val="00580F2F"/>
    <w:rsid w:val="00583D8E"/>
    <w:rsid w:val="00583EAA"/>
    <w:rsid w:val="005840AC"/>
    <w:rsid w:val="0058538F"/>
    <w:rsid w:val="00585848"/>
    <w:rsid w:val="00585C53"/>
    <w:rsid w:val="00585DFA"/>
    <w:rsid w:val="005865B2"/>
    <w:rsid w:val="005869B8"/>
    <w:rsid w:val="00587B59"/>
    <w:rsid w:val="00590208"/>
    <w:rsid w:val="00590DC3"/>
    <w:rsid w:val="00591E8E"/>
    <w:rsid w:val="005922D2"/>
    <w:rsid w:val="0059466E"/>
    <w:rsid w:val="00594971"/>
    <w:rsid w:val="00594B79"/>
    <w:rsid w:val="00594C0D"/>
    <w:rsid w:val="0059560C"/>
    <w:rsid w:val="005959E5"/>
    <w:rsid w:val="005966D6"/>
    <w:rsid w:val="00596931"/>
    <w:rsid w:val="00597360"/>
    <w:rsid w:val="005975ED"/>
    <w:rsid w:val="00597ADC"/>
    <w:rsid w:val="00597B64"/>
    <w:rsid w:val="00597BEC"/>
    <w:rsid w:val="005A1B22"/>
    <w:rsid w:val="005A1CD5"/>
    <w:rsid w:val="005A28DF"/>
    <w:rsid w:val="005A2AAD"/>
    <w:rsid w:val="005A3B2B"/>
    <w:rsid w:val="005A4D62"/>
    <w:rsid w:val="005A4F99"/>
    <w:rsid w:val="005A573B"/>
    <w:rsid w:val="005A5ED0"/>
    <w:rsid w:val="005A5FAE"/>
    <w:rsid w:val="005A6496"/>
    <w:rsid w:val="005A6C4B"/>
    <w:rsid w:val="005A6E9E"/>
    <w:rsid w:val="005A72B5"/>
    <w:rsid w:val="005A7BE3"/>
    <w:rsid w:val="005B09F5"/>
    <w:rsid w:val="005B1AA8"/>
    <w:rsid w:val="005B1ABF"/>
    <w:rsid w:val="005B1F36"/>
    <w:rsid w:val="005B206A"/>
    <w:rsid w:val="005B2087"/>
    <w:rsid w:val="005B25DB"/>
    <w:rsid w:val="005B34EF"/>
    <w:rsid w:val="005B4040"/>
    <w:rsid w:val="005B5DF9"/>
    <w:rsid w:val="005B65E0"/>
    <w:rsid w:val="005B71A3"/>
    <w:rsid w:val="005B74F5"/>
    <w:rsid w:val="005C042C"/>
    <w:rsid w:val="005C149B"/>
    <w:rsid w:val="005C1EAB"/>
    <w:rsid w:val="005C5F8E"/>
    <w:rsid w:val="005C6946"/>
    <w:rsid w:val="005C6B25"/>
    <w:rsid w:val="005C6D39"/>
    <w:rsid w:val="005C7422"/>
    <w:rsid w:val="005C7726"/>
    <w:rsid w:val="005C7BAC"/>
    <w:rsid w:val="005C7EB3"/>
    <w:rsid w:val="005D05B3"/>
    <w:rsid w:val="005D0C04"/>
    <w:rsid w:val="005D1882"/>
    <w:rsid w:val="005D22D6"/>
    <w:rsid w:val="005D2F41"/>
    <w:rsid w:val="005D3303"/>
    <w:rsid w:val="005D335A"/>
    <w:rsid w:val="005D3835"/>
    <w:rsid w:val="005D3933"/>
    <w:rsid w:val="005E03AC"/>
    <w:rsid w:val="005E11CF"/>
    <w:rsid w:val="005E137F"/>
    <w:rsid w:val="005E1557"/>
    <w:rsid w:val="005E1DCC"/>
    <w:rsid w:val="005E2526"/>
    <w:rsid w:val="005E2B0E"/>
    <w:rsid w:val="005E3EF4"/>
    <w:rsid w:val="005E3F30"/>
    <w:rsid w:val="005E451D"/>
    <w:rsid w:val="005E4623"/>
    <w:rsid w:val="005E59C8"/>
    <w:rsid w:val="005E5ECE"/>
    <w:rsid w:val="005E5FD3"/>
    <w:rsid w:val="005E70F8"/>
    <w:rsid w:val="005E7146"/>
    <w:rsid w:val="005E77AF"/>
    <w:rsid w:val="005E77D6"/>
    <w:rsid w:val="005F0F48"/>
    <w:rsid w:val="005F1A1D"/>
    <w:rsid w:val="005F1D6A"/>
    <w:rsid w:val="005F1E95"/>
    <w:rsid w:val="005F24AD"/>
    <w:rsid w:val="005F2F24"/>
    <w:rsid w:val="005F465D"/>
    <w:rsid w:val="005F5202"/>
    <w:rsid w:val="005F696F"/>
    <w:rsid w:val="005F76B6"/>
    <w:rsid w:val="00600809"/>
    <w:rsid w:val="00600ADE"/>
    <w:rsid w:val="00601728"/>
    <w:rsid w:val="006017CC"/>
    <w:rsid w:val="00601C1F"/>
    <w:rsid w:val="0060352D"/>
    <w:rsid w:val="006038F8"/>
    <w:rsid w:val="00604129"/>
    <w:rsid w:val="00604B62"/>
    <w:rsid w:val="0060502A"/>
    <w:rsid w:val="0060513B"/>
    <w:rsid w:val="006054D3"/>
    <w:rsid w:val="006062CD"/>
    <w:rsid w:val="00606B34"/>
    <w:rsid w:val="00607378"/>
    <w:rsid w:val="00607447"/>
    <w:rsid w:val="00607C30"/>
    <w:rsid w:val="00607F1A"/>
    <w:rsid w:val="00610EED"/>
    <w:rsid w:val="00611316"/>
    <w:rsid w:val="0061144A"/>
    <w:rsid w:val="00611E48"/>
    <w:rsid w:val="006134FE"/>
    <w:rsid w:val="00614B09"/>
    <w:rsid w:val="00615280"/>
    <w:rsid w:val="00616DB5"/>
    <w:rsid w:val="00617613"/>
    <w:rsid w:val="00617B4D"/>
    <w:rsid w:val="00620654"/>
    <w:rsid w:val="006207F2"/>
    <w:rsid w:val="00620B77"/>
    <w:rsid w:val="00622016"/>
    <w:rsid w:val="00622B74"/>
    <w:rsid w:val="006234D1"/>
    <w:rsid w:val="0062382F"/>
    <w:rsid w:val="00623F16"/>
    <w:rsid w:val="00624AD8"/>
    <w:rsid w:val="00624F6B"/>
    <w:rsid w:val="00625E89"/>
    <w:rsid w:val="006260D0"/>
    <w:rsid w:val="006261E5"/>
    <w:rsid w:val="00626A9F"/>
    <w:rsid w:val="00630514"/>
    <w:rsid w:val="00631214"/>
    <w:rsid w:val="006316E3"/>
    <w:rsid w:val="0063179D"/>
    <w:rsid w:val="006328EA"/>
    <w:rsid w:val="00632E2A"/>
    <w:rsid w:val="0063369F"/>
    <w:rsid w:val="00633A48"/>
    <w:rsid w:val="00633E97"/>
    <w:rsid w:val="0063468F"/>
    <w:rsid w:val="00634982"/>
    <w:rsid w:val="00635B68"/>
    <w:rsid w:val="00635C13"/>
    <w:rsid w:val="00635DFC"/>
    <w:rsid w:val="00636D0D"/>
    <w:rsid w:val="00636F30"/>
    <w:rsid w:val="00637582"/>
    <w:rsid w:val="00641805"/>
    <w:rsid w:val="00641C21"/>
    <w:rsid w:val="0064297F"/>
    <w:rsid w:val="00643678"/>
    <w:rsid w:val="00644322"/>
    <w:rsid w:val="00644B38"/>
    <w:rsid w:val="00644D53"/>
    <w:rsid w:val="00644FE8"/>
    <w:rsid w:val="00645728"/>
    <w:rsid w:val="0064626E"/>
    <w:rsid w:val="0064697F"/>
    <w:rsid w:val="006473C2"/>
    <w:rsid w:val="00650A0D"/>
    <w:rsid w:val="00651AE8"/>
    <w:rsid w:val="006521F9"/>
    <w:rsid w:val="00652321"/>
    <w:rsid w:val="00652D47"/>
    <w:rsid w:val="006530C2"/>
    <w:rsid w:val="00653102"/>
    <w:rsid w:val="00653135"/>
    <w:rsid w:val="006537D5"/>
    <w:rsid w:val="00654A18"/>
    <w:rsid w:val="00654C32"/>
    <w:rsid w:val="00654E14"/>
    <w:rsid w:val="00655105"/>
    <w:rsid w:val="0065539D"/>
    <w:rsid w:val="00655A04"/>
    <w:rsid w:val="00655EB8"/>
    <w:rsid w:val="0065608D"/>
    <w:rsid w:val="00657755"/>
    <w:rsid w:val="00660608"/>
    <w:rsid w:val="0066166A"/>
    <w:rsid w:val="006628F1"/>
    <w:rsid w:val="00662FD2"/>
    <w:rsid w:val="00663023"/>
    <w:rsid w:val="006635E4"/>
    <w:rsid w:val="0066450D"/>
    <w:rsid w:val="0066484E"/>
    <w:rsid w:val="00665409"/>
    <w:rsid w:val="006660F3"/>
    <w:rsid w:val="006666DD"/>
    <w:rsid w:val="00666986"/>
    <w:rsid w:val="00670184"/>
    <w:rsid w:val="00670EF4"/>
    <w:rsid w:val="006717B9"/>
    <w:rsid w:val="00674AE1"/>
    <w:rsid w:val="0067507A"/>
    <w:rsid w:val="00675519"/>
    <w:rsid w:val="00676190"/>
    <w:rsid w:val="0067686F"/>
    <w:rsid w:val="00676A86"/>
    <w:rsid w:val="006774B5"/>
    <w:rsid w:val="00680042"/>
    <w:rsid w:val="006801EC"/>
    <w:rsid w:val="006803A1"/>
    <w:rsid w:val="00680743"/>
    <w:rsid w:val="00680E00"/>
    <w:rsid w:val="00680F8A"/>
    <w:rsid w:val="00680F8E"/>
    <w:rsid w:val="00681C9D"/>
    <w:rsid w:val="00682C8D"/>
    <w:rsid w:val="0068381C"/>
    <w:rsid w:val="00685475"/>
    <w:rsid w:val="00685FC9"/>
    <w:rsid w:val="0068605B"/>
    <w:rsid w:val="006869BD"/>
    <w:rsid w:val="006869D5"/>
    <w:rsid w:val="00687327"/>
    <w:rsid w:val="00687507"/>
    <w:rsid w:val="00687964"/>
    <w:rsid w:val="00687BD3"/>
    <w:rsid w:val="006900C2"/>
    <w:rsid w:val="00690A84"/>
    <w:rsid w:val="00690C25"/>
    <w:rsid w:val="00691640"/>
    <w:rsid w:val="00691D44"/>
    <w:rsid w:val="00691D5E"/>
    <w:rsid w:val="006934C6"/>
    <w:rsid w:val="006934E3"/>
    <w:rsid w:val="00694383"/>
    <w:rsid w:val="00694C94"/>
    <w:rsid w:val="00695112"/>
    <w:rsid w:val="0069584B"/>
    <w:rsid w:val="00695B31"/>
    <w:rsid w:val="00696B13"/>
    <w:rsid w:val="00697A5A"/>
    <w:rsid w:val="006A052B"/>
    <w:rsid w:val="006A21DA"/>
    <w:rsid w:val="006A25DE"/>
    <w:rsid w:val="006A2666"/>
    <w:rsid w:val="006A5035"/>
    <w:rsid w:val="006A5510"/>
    <w:rsid w:val="006A57E2"/>
    <w:rsid w:val="006A59B2"/>
    <w:rsid w:val="006A67C4"/>
    <w:rsid w:val="006A6881"/>
    <w:rsid w:val="006A70E4"/>
    <w:rsid w:val="006A7C7A"/>
    <w:rsid w:val="006A7D7E"/>
    <w:rsid w:val="006B32DA"/>
    <w:rsid w:val="006B3A98"/>
    <w:rsid w:val="006B3EA4"/>
    <w:rsid w:val="006C022E"/>
    <w:rsid w:val="006C0442"/>
    <w:rsid w:val="006C0513"/>
    <w:rsid w:val="006C09AD"/>
    <w:rsid w:val="006C1CF1"/>
    <w:rsid w:val="006C3B16"/>
    <w:rsid w:val="006C4057"/>
    <w:rsid w:val="006C55A3"/>
    <w:rsid w:val="006C586B"/>
    <w:rsid w:val="006C5D59"/>
    <w:rsid w:val="006C7035"/>
    <w:rsid w:val="006C76C1"/>
    <w:rsid w:val="006C7811"/>
    <w:rsid w:val="006D0427"/>
    <w:rsid w:val="006D08D3"/>
    <w:rsid w:val="006D09A1"/>
    <w:rsid w:val="006D0C59"/>
    <w:rsid w:val="006D1ACE"/>
    <w:rsid w:val="006D2547"/>
    <w:rsid w:val="006D2FA6"/>
    <w:rsid w:val="006D324F"/>
    <w:rsid w:val="006D3873"/>
    <w:rsid w:val="006D4EFF"/>
    <w:rsid w:val="006D5091"/>
    <w:rsid w:val="006D566C"/>
    <w:rsid w:val="006D5F4A"/>
    <w:rsid w:val="006D61CB"/>
    <w:rsid w:val="006D6336"/>
    <w:rsid w:val="006D7436"/>
    <w:rsid w:val="006E03EA"/>
    <w:rsid w:val="006E07EA"/>
    <w:rsid w:val="006E0EF9"/>
    <w:rsid w:val="006E0F7F"/>
    <w:rsid w:val="006E16BE"/>
    <w:rsid w:val="006E191B"/>
    <w:rsid w:val="006E1FA1"/>
    <w:rsid w:val="006E36CD"/>
    <w:rsid w:val="006E3837"/>
    <w:rsid w:val="006E46DD"/>
    <w:rsid w:val="006E481C"/>
    <w:rsid w:val="006E51DB"/>
    <w:rsid w:val="006E6DA0"/>
    <w:rsid w:val="006E7214"/>
    <w:rsid w:val="006E7583"/>
    <w:rsid w:val="006F0425"/>
    <w:rsid w:val="006F0AD7"/>
    <w:rsid w:val="006F0E41"/>
    <w:rsid w:val="006F0FCD"/>
    <w:rsid w:val="006F153B"/>
    <w:rsid w:val="006F2204"/>
    <w:rsid w:val="006F230B"/>
    <w:rsid w:val="006F2AC0"/>
    <w:rsid w:val="006F31EE"/>
    <w:rsid w:val="006F3DB0"/>
    <w:rsid w:val="006F42C4"/>
    <w:rsid w:val="006F7669"/>
    <w:rsid w:val="00700522"/>
    <w:rsid w:val="00701012"/>
    <w:rsid w:val="00701A26"/>
    <w:rsid w:val="007025B3"/>
    <w:rsid w:val="00702A7A"/>
    <w:rsid w:val="007033F6"/>
    <w:rsid w:val="0070349F"/>
    <w:rsid w:val="00703545"/>
    <w:rsid w:val="00704419"/>
    <w:rsid w:val="007047C4"/>
    <w:rsid w:val="00704B7A"/>
    <w:rsid w:val="00705010"/>
    <w:rsid w:val="00705564"/>
    <w:rsid w:val="007055C0"/>
    <w:rsid w:val="00706411"/>
    <w:rsid w:val="007066E6"/>
    <w:rsid w:val="00710E7A"/>
    <w:rsid w:val="00710FFA"/>
    <w:rsid w:val="0071122F"/>
    <w:rsid w:val="0071260C"/>
    <w:rsid w:val="00712E24"/>
    <w:rsid w:val="00713CD0"/>
    <w:rsid w:val="00714338"/>
    <w:rsid w:val="00714575"/>
    <w:rsid w:val="00714E19"/>
    <w:rsid w:val="007158C7"/>
    <w:rsid w:val="00715CF5"/>
    <w:rsid w:val="007166B7"/>
    <w:rsid w:val="00716987"/>
    <w:rsid w:val="00716F8F"/>
    <w:rsid w:val="00717D29"/>
    <w:rsid w:val="00717E29"/>
    <w:rsid w:val="0072026D"/>
    <w:rsid w:val="007213F0"/>
    <w:rsid w:val="00721D08"/>
    <w:rsid w:val="007221B5"/>
    <w:rsid w:val="00722554"/>
    <w:rsid w:val="00722DB7"/>
    <w:rsid w:val="007235E6"/>
    <w:rsid w:val="007248C4"/>
    <w:rsid w:val="00725841"/>
    <w:rsid w:val="00725FAB"/>
    <w:rsid w:val="007265D2"/>
    <w:rsid w:val="007270FD"/>
    <w:rsid w:val="00727190"/>
    <w:rsid w:val="0072744F"/>
    <w:rsid w:val="007275A5"/>
    <w:rsid w:val="00730B32"/>
    <w:rsid w:val="00732328"/>
    <w:rsid w:val="0073318F"/>
    <w:rsid w:val="00733577"/>
    <w:rsid w:val="007344B0"/>
    <w:rsid w:val="007359A3"/>
    <w:rsid w:val="0074034B"/>
    <w:rsid w:val="00740CC7"/>
    <w:rsid w:val="00741229"/>
    <w:rsid w:val="00742B7B"/>
    <w:rsid w:val="00743CE6"/>
    <w:rsid w:val="007446C5"/>
    <w:rsid w:val="00744EEC"/>
    <w:rsid w:val="00746057"/>
    <w:rsid w:val="007462C8"/>
    <w:rsid w:val="007506CE"/>
    <w:rsid w:val="00750B2A"/>
    <w:rsid w:val="00750C4D"/>
    <w:rsid w:val="00752CF9"/>
    <w:rsid w:val="007543A5"/>
    <w:rsid w:val="007545E1"/>
    <w:rsid w:val="007546B3"/>
    <w:rsid w:val="0075771C"/>
    <w:rsid w:val="00757E58"/>
    <w:rsid w:val="0076075E"/>
    <w:rsid w:val="00760B39"/>
    <w:rsid w:val="007611B3"/>
    <w:rsid w:val="0076225C"/>
    <w:rsid w:val="007624F2"/>
    <w:rsid w:val="007629E4"/>
    <w:rsid w:val="00762AFD"/>
    <w:rsid w:val="00765283"/>
    <w:rsid w:val="0076620B"/>
    <w:rsid w:val="00766931"/>
    <w:rsid w:val="00767021"/>
    <w:rsid w:val="00767F09"/>
    <w:rsid w:val="007717D0"/>
    <w:rsid w:val="00771FAE"/>
    <w:rsid w:val="00772D10"/>
    <w:rsid w:val="00772E3C"/>
    <w:rsid w:val="007733CB"/>
    <w:rsid w:val="007738A9"/>
    <w:rsid w:val="00773A3B"/>
    <w:rsid w:val="00773A8C"/>
    <w:rsid w:val="00773B56"/>
    <w:rsid w:val="00774752"/>
    <w:rsid w:val="00775525"/>
    <w:rsid w:val="00776A99"/>
    <w:rsid w:val="00776AE1"/>
    <w:rsid w:val="00777C85"/>
    <w:rsid w:val="0078127E"/>
    <w:rsid w:val="00781E33"/>
    <w:rsid w:val="00782977"/>
    <w:rsid w:val="00784930"/>
    <w:rsid w:val="00785DA6"/>
    <w:rsid w:val="007868ED"/>
    <w:rsid w:val="007869E8"/>
    <w:rsid w:val="00787D3D"/>
    <w:rsid w:val="007900B0"/>
    <w:rsid w:val="0079267D"/>
    <w:rsid w:val="00792BE4"/>
    <w:rsid w:val="007934A0"/>
    <w:rsid w:val="00793DA5"/>
    <w:rsid w:val="007944D9"/>
    <w:rsid w:val="0079474B"/>
    <w:rsid w:val="00794B4B"/>
    <w:rsid w:val="007953D1"/>
    <w:rsid w:val="007958FC"/>
    <w:rsid w:val="007959E5"/>
    <w:rsid w:val="0079607B"/>
    <w:rsid w:val="00796194"/>
    <w:rsid w:val="00796B19"/>
    <w:rsid w:val="007A2F75"/>
    <w:rsid w:val="007A485B"/>
    <w:rsid w:val="007A49AA"/>
    <w:rsid w:val="007A5286"/>
    <w:rsid w:val="007A63EF"/>
    <w:rsid w:val="007A7386"/>
    <w:rsid w:val="007A7540"/>
    <w:rsid w:val="007A7838"/>
    <w:rsid w:val="007B0666"/>
    <w:rsid w:val="007B1BF8"/>
    <w:rsid w:val="007B2440"/>
    <w:rsid w:val="007B29AB"/>
    <w:rsid w:val="007B3524"/>
    <w:rsid w:val="007B363E"/>
    <w:rsid w:val="007B363F"/>
    <w:rsid w:val="007B5AA1"/>
    <w:rsid w:val="007B6C7F"/>
    <w:rsid w:val="007B7124"/>
    <w:rsid w:val="007B7518"/>
    <w:rsid w:val="007C04D4"/>
    <w:rsid w:val="007C0A2B"/>
    <w:rsid w:val="007C168D"/>
    <w:rsid w:val="007C1D79"/>
    <w:rsid w:val="007C1F8C"/>
    <w:rsid w:val="007C291C"/>
    <w:rsid w:val="007C3B13"/>
    <w:rsid w:val="007C4963"/>
    <w:rsid w:val="007C4C3C"/>
    <w:rsid w:val="007C6265"/>
    <w:rsid w:val="007C799C"/>
    <w:rsid w:val="007D11AA"/>
    <w:rsid w:val="007D1F22"/>
    <w:rsid w:val="007D3467"/>
    <w:rsid w:val="007D3EE3"/>
    <w:rsid w:val="007D4367"/>
    <w:rsid w:val="007D4766"/>
    <w:rsid w:val="007D4AE9"/>
    <w:rsid w:val="007D7377"/>
    <w:rsid w:val="007E11F8"/>
    <w:rsid w:val="007E1CB9"/>
    <w:rsid w:val="007E2289"/>
    <w:rsid w:val="007E3549"/>
    <w:rsid w:val="007E3D9E"/>
    <w:rsid w:val="007E3ED0"/>
    <w:rsid w:val="007E4E95"/>
    <w:rsid w:val="007E55BD"/>
    <w:rsid w:val="007E5C9C"/>
    <w:rsid w:val="007E720F"/>
    <w:rsid w:val="007F1363"/>
    <w:rsid w:val="007F1C70"/>
    <w:rsid w:val="007F21BC"/>
    <w:rsid w:val="007F2EDB"/>
    <w:rsid w:val="007F3FF8"/>
    <w:rsid w:val="007F5B06"/>
    <w:rsid w:val="00800021"/>
    <w:rsid w:val="008029A5"/>
    <w:rsid w:val="00803B71"/>
    <w:rsid w:val="00806339"/>
    <w:rsid w:val="0080647A"/>
    <w:rsid w:val="00806646"/>
    <w:rsid w:val="0080716C"/>
    <w:rsid w:val="008100E8"/>
    <w:rsid w:val="00811BFF"/>
    <w:rsid w:val="00811C05"/>
    <w:rsid w:val="008133F1"/>
    <w:rsid w:val="00813CD3"/>
    <w:rsid w:val="00813E9B"/>
    <w:rsid w:val="0081471E"/>
    <w:rsid w:val="00814CE3"/>
    <w:rsid w:val="00815162"/>
    <w:rsid w:val="00815940"/>
    <w:rsid w:val="00815C51"/>
    <w:rsid w:val="00815F0C"/>
    <w:rsid w:val="00816597"/>
    <w:rsid w:val="008166ED"/>
    <w:rsid w:val="00816A82"/>
    <w:rsid w:val="00816F03"/>
    <w:rsid w:val="00817210"/>
    <w:rsid w:val="00817CC3"/>
    <w:rsid w:val="00821003"/>
    <w:rsid w:val="00821181"/>
    <w:rsid w:val="00822BFF"/>
    <w:rsid w:val="00824CB5"/>
    <w:rsid w:val="00830AE2"/>
    <w:rsid w:val="00830B51"/>
    <w:rsid w:val="00831F09"/>
    <w:rsid w:val="00832A9F"/>
    <w:rsid w:val="00832B15"/>
    <w:rsid w:val="00833282"/>
    <w:rsid w:val="008335CE"/>
    <w:rsid w:val="00833D88"/>
    <w:rsid w:val="00834521"/>
    <w:rsid w:val="008347F8"/>
    <w:rsid w:val="00835663"/>
    <w:rsid w:val="0083571B"/>
    <w:rsid w:val="00835E09"/>
    <w:rsid w:val="00840AF4"/>
    <w:rsid w:val="0084399C"/>
    <w:rsid w:val="00844215"/>
    <w:rsid w:val="00845AD8"/>
    <w:rsid w:val="00846327"/>
    <w:rsid w:val="008463CA"/>
    <w:rsid w:val="00846C95"/>
    <w:rsid w:val="008475B9"/>
    <w:rsid w:val="00847FB8"/>
    <w:rsid w:val="008506C1"/>
    <w:rsid w:val="00850B0A"/>
    <w:rsid w:val="008516DE"/>
    <w:rsid w:val="00853D76"/>
    <w:rsid w:val="00853F8F"/>
    <w:rsid w:val="00853FD2"/>
    <w:rsid w:val="008542B4"/>
    <w:rsid w:val="00854989"/>
    <w:rsid w:val="0085615B"/>
    <w:rsid w:val="00856668"/>
    <w:rsid w:val="00856F78"/>
    <w:rsid w:val="00857390"/>
    <w:rsid w:val="00857F6A"/>
    <w:rsid w:val="0086003D"/>
    <w:rsid w:val="00860092"/>
    <w:rsid w:val="00864D1B"/>
    <w:rsid w:val="00865A17"/>
    <w:rsid w:val="00865D28"/>
    <w:rsid w:val="00866DDF"/>
    <w:rsid w:val="008677E6"/>
    <w:rsid w:val="00867EBE"/>
    <w:rsid w:val="0087006D"/>
    <w:rsid w:val="00870A70"/>
    <w:rsid w:val="00871958"/>
    <w:rsid w:val="00871C4E"/>
    <w:rsid w:val="00871E53"/>
    <w:rsid w:val="00872F6B"/>
    <w:rsid w:val="0087304C"/>
    <w:rsid w:val="00873846"/>
    <w:rsid w:val="00873C60"/>
    <w:rsid w:val="00873ECF"/>
    <w:rsid w:val="00874519"/>
    <w:rsid w:val="00874661"/>
    <w:rsid w:val="00875F81"/>
    <w:rsid w:val="00876570"/>
    <w:rsid w:val="00876F43"/>
    <w:rsid w:val="0087770F"/>
    <w:rsid w:val="00880344"/>
    <w:rsid w:val="00880BE4"/>
    <w:rsid w:val="00881902"/>
    <w:rsid w:val="00882561"/>
    <w:rsid w:val="00883059"/>
    <w:rsid w:val="0088475C"/>
    <w:rsid w:val="0088490B"/>
    <w:rsid w:val="00885276"/>
    <w:rsid w:val="0088575D"/>
    <w:rsid w:val="0088591A"/>
    <w:rsid w:val="00886090"/>
    <w:rsid w:val="008864CF"/>
    <w:rsid w:val="008879B4"/>
    <w:rsid w:val="00890068"/>
    <w:rsid w:val="008915C0"/>
    <w:rsid w:val="00891761"/>
    <w:rsid w:val="00892443"/>
    <w:rsid w:val="00893B42"/>
    <w:rsid w:val="008948C8"/>
    <w:rsid w:val="00895B94"/>
    <w:rsid w:val="008979B0"/>
    <w:rsid w:val="00897A2E"/>
    <w:rsid w:val="00897FB4"/>
    <w:rsid w:val="008A3565"/>
    <w:rsid w:val="008A40E1"/>
    <w:rsid w:val="008A4B8E"/>
    <w:rsid w:val="008A508D"/>
    <w:rsid w:val="008A57A4"/>
    <w:rsid w:val="008A6463"/>
    <w:rsid w:val="008A64B1"/>
    <w:rsid w:val="008A6500"/>
    <w:rsid w:val="008A65CA"/>
    <w:rsid w:val="008A79E8"/>
    <w:rsid w:val="008A7E03"/>
    <w:rsid w:val="008B17CB"/>
    <w:rsid w:val="008B3619"/>
    <w:rsid w:val="008B3984"/>
    <w:rsid w:val="008B3D5C"/>
    <w:rsid w:val="008B50EB"/>
    <w:rsid w:val="008B53FA"/>
    <w:rsid w:val="008B5B37"/>
    <w:rsid w:val="008B5F90"/>
    <w:rsid w:val="008B6519"/>
    <w:rsid w:val="008B7337"/>
    <w:rsid w:val="008C33A1"/>
    <w:rsid w:val="008C392F"/>
    <w:rsid w:val="008C3CCE"/>
    <w:rsid w:val="008C6267"/>
    <w:rsid w:val="008C63C1"/>
    <w:rsid w:val="008C69E4"/>
    <w:rsid w:val="008C7276"/>
    <w:rsid w:val="008C78E9"/>
    <w:rsid w:val="008C7D3D"/>
    <w:rsid w:val="008D081E"/>
    <w:rsid w:val="008D114C"/>
    <w:rsid w:val="008D184A"/>
    <w:rsid w:val="008D2FC4"/>
    <w:rsid w:val="008D31DD"/>
    <w:rsid w:val="008D31EF"/>
    <w:rsid w:val="008D3AAF"/>
    <w:rsid w:val="008D4178"/>
    <w:rsid w:val="008D4FF8"/>
    <w:rsid w:val="008D50A3"/>
    <w:rsid w:val="008D5CF1"/>
    <w:rsid w:val="008D66F3"/>
    <w:rsid w:val="008D68C9"/>
    <w:rsid w:val="008D7D65"/>
    <w:rsid w:val="008E0584"/>
    <w:rsid w:val="008E08C3"/>
    <w:rsid w:val="008E0900"/>
    <w:rsid w:val="008E1579"/>
    <w:rsid w:val="008E2152"/>
    <w:rsid w:val="008E3B02"/>
    <w:rsid w:val="008E4F68"/>
    <w:rsid w:val="008E556F"/>
    <w:rsid w:val="008E575B"/>
    <w:rsid w:val="008E5BE6"/>
    <w:rsid w:val="008E64DE"/>
    <w:rsid w:val="008E6FB8"/>
    <w:rsid w:val="008E7E2D"/>
    <w:rsid w:val="008F08B5"/>
    <w:rsid w:val="008F0B8B"/>
    <w:rsid w:val="008F12A6"/>
    <w:rsid w:val="008F1F7A"/>
    <w:rsid w:val="008F2E01"/>
    <w:rsid w:val="008F5A02"/>
    <w:rsid w:val="008F5EA7"/>
    <w:rsid w:val="008F6072"/>
    <w:rsid w:val="008F6199"/>
    <w:rsid w:val="008F6387"/>
    <w:rsid w:val="0090238A"/>
    <w:rsid w:val="00902965"/>
    <w:rsid w:val="00903123"/>
    <w:rsid w:val="0090398F"/>
    <w:rsid w:val="00904948"/>
    <w:rsid w:val="00904A61"/>
    <w:rsid w:val="0090539A"/>
    <w:rsid w:val="00905DDF"/>
    <w:rsid w:val="00906C7E"/>
    <w:rsid w:val="0090737A"/>
    <w:rsid w:val="00907C88"/>
    <w:rsid w:val="00910033"/>
    <w:rsid w:val="0091203C"/>
    <w:rsid w:val="00912240"/>
    <w:rsid w:val="009133C9"/>
    <w:rsid w:val="009133F7"/>
    <w:rsid w:val="0091340F"/>
    <w:rsid w:val="00913588"/>
    <w:rsid w:val="0091378B"/>
    <w:rsid w:val="009146B7"/>
    <w:rsid w:val="0091551B"/>
    <w:rsid w:val="009155A4"/>
    <w:rsid w:val="00916238"/>
    <w:rsid w:val="00917368"/>
    <w:rsid w:val="009216CD"/>
    <w:rsid w:val="009233E9"/>
    <w:rsid w:val="0092372F"/>
    <w:rsid w:val="00923897"/>
    <w:rsid w:val="00923DE2"/>
    <w:rsid w:val="00923FE7"/>
    <w:rsid w:val="00924183"/>
    <w:rsid w:val="00926043"/>
    <w:rsid w:val="0092676B"/>
    <w:rsid w:val="009271F8"/>
    <w:rsid w:val="0092748D"/>
    <w:rsid w:val="009277DE"/>
    <w:rsid w:val="009300BE"/>
    <w:rsid w:val="0093041D"/>
    <w:rsid w:val="009306EA"/>
    <w:rsid w:val="00931397"/>
    <w:rsid w:val="00932C96"/>
    <w:rsid w:val="00933F2A"/>
    <w:rsid w:val="0093450F"/>
    <w:rsid w:val="00934A4F"/>
    <w:rsid w:val="009363C6"/>
    <w:rsid w:val="00936BC5"/>
    <w:rsid w:val="00937877"/>
    <w:rsid w:val="00940864"/>
    <w:rsid w:val="00941155"/>
    <w:rsid w:val="0094117D"/>
    <w:rsid w:val="0094137A"/>
    <w:rsid w:val="00941894"/>
    <w:rsid w:val="00941FC4"/>
    <w:rsid w:val="009426A6"/>
    <w:rsid w:val="009437A6"/>
    <w:rsid w:val="00943C9A"/>
    <w:rsid w:val="00943DB0"/>
    <w:rsid w:val="00943F43"/>
    <w:rsid w:val="009458D6"/>
    <w:rsid w:val="00945902"/>
    <w:rsid w:val="00945C12"/>
    <w:rsid w:val="00946D5E"/>
    <w:rsid w:val="00951345"/>
    <w:rsid w:val="00952113"/>
    <w:rsid w:val="00952EFB"/>
    <w:rsid w:val="00953434"/>
    <w:rsid w:val="00953502"/>
    <w:rsid w:val="00955C3C"/>
    <w:rsid w:val="00956326"/>
    <w:rsid w:val="0095787E"/>
    <w:rsid w:val="00957899"/>
    <w:rsid w:val="009602C2"/>
    <w:rsid w:val="009633DC"/>
    <w:rsid w:val="00964759"/>
    <w:rsid w:val="009657B4"/>
    <w:rsid w:val="009658F0"/>
    <w:rsid w:val="009667C7"/>
    <w:rsid w:val="00970716"/>
    <w:rsid w:val="009710C5"/>
    <w:rsid w:val="0097183D"/>
    <w:rsid w:val="00972175"/>
    <w:rsid w:val="00972514"/>
    <w:rsid w:val="009733C8"/>
    <w:rsid w:val="00973F3B"/>
    <w:rsid w:val="0097410E"/>
    <w:rsid w:val="009747E9"/>
    <w:rsid w:val="00974B33"/>
    <w:rsid w:val="00975507"/>
    <w:rsid w:val="0097559E"/>
    <w:rsid w:val="00975758"/>
    <w:rsid w:val="00977756"/>
    <w:rsid w:val="00980348"/>
    <w:rsid w:val="00980BAA"/>
    <w:rsid w:val="00981A91"/>
    <w:rsid w:val="00981EFF"/>
    <w:rsid w:val="00982DE2"/>
    <w:rsid w:val="00982EBB"/>
    <w:rsid w:val="0098343C"/>
    <w:rsid w:val="0098359E"/>
    <w:rsid w:val="00984AAB"/>
    <w:rsid w:val="0098500A"/>
    <w:rsid w:val="009850C1"/>
    <w:rsid w:val="0098687E"/>
    <w:rsid w:val="00986A0D"/>
    <w:rsid w:val="00986AA4"/>
    <w:rsid w:val="00986E1A"/>
    <w:rsid w:val="00986FE9"/>
    <w:rsid w:val="00987880"/>
    <w:rsid w:val="00987D97"/>
    <w:rsid w:val="009903C2"/>
    <w:rsid w:val="009906C8"/>
    <w:rsid w:val="00990CD7"/>
    <w:rsid w:val="00991E2F"/>
    <w:rsid w:val="009934A1"/>
    <w:rsid w:val="0099385C"/>
    <w:rsid w:val="00994E5A"/>
    <w:rsid w:val="00994F4F"/>
    <w:rsid w:val="00995C95"/>
    <w:rsid w:val="0099696C"/>
    <w:rsid w:val="00996D20"/>
    <w:rsid w:val="00997B8A"/>
    <w:rsid w:val="00997C0A"/>
    <w:rsid w:val="009A0BE5"/>
    <w:rsid w:val="009A0F02"/>
    <w:rsid w:val="009A13A4"/>
    <w:rsid w:val="009A1B4A"/>
    <w:rsid w:val="009A3AB4"/>
    <w:rsid w:val="009A42EC"/>
    <w:rsid w:val="009A4D8C"/>
    <w:rsid w:val="009A5931"/>
    <w:rsid w:val="009A5933"/>
    <w:rsid w:val="009A7873"/>
    <w:rsid w:val="009B0DA6"/>
    <w:rsid w:val="009B25F5"/>
    <w:rsid w:val="009B37AF"/>
    <w:rsid w:val="009B3BA8"/>
    <w:rsid w:val="009B4ACB"/>
    <w:rsid w:val="009B56F9"/>
    <w:rsid w:val="009B6A4C"/>
    <w:rsid w:val="009C0732"/>
    <w:rsid w:val="009C1E28"/>
    <w:rsid w:val="009C275F"/>
    <w:rsid w:val="009C2F26"/>
    <w:rsid w:val="009C3BA7"/>
    <w:rsid w:val="009C3E70"/>
    <w:rsid w:val="009C40B9"/>
    <w:rsid w:val="009C6607"/>
    <w:rsid w:val="009C6E1E"/>
    <w:rsid w:val="009C7FB8"/>
    <w:rsid w:val="009D0BC9"/>
    <w:rsid w:val="009D10F5"/>
    <w:rsid w:val="009D127C"/>
    <w:rsid w:val="009D1AD1"/>
    <w:rsid w:val="009D34AB"/>
    <w:rsid w:val="009D37F3"/>
    <w:rsid w:val="009D4337"/>
    <w:rsid w:val="009E04A2"/>
    <w:rsid w:val="009E081D"/>
    <w:rsid w:val="009E2C04"/>
    <w:rsid w:val="009E2D15"/>
    <w:rsid w:val="009E330A"/>
    <w:rsid w:val="009E38D4"/>
    <w:rsid w:val="009E6454"/>
    <w:rsid w:val="009E702D"/>
    <w:rsid w:val="009E7DC1"/>
    <w:rsid w:val="009F046F"/>
    <w:rsid w:val="009F166F"/>
    <w:rsid w:val="009F2F02"/>
    <w:rsid w:val="009F38D6"/>
    <w:rsid w:val="009F43D9"/>
    <w:rsid w:val="009F4C8F"/>
    <w:rsid w:val="009F5532"/>
    <w:rsid w:val="009F59AA"/>
    <w:rsid w:val="009F6DBB"/>
    <w:rsid w:val="009F7468"/>
    <w:rsid w:val="009F7956"/>
    <w:rsid w:val="00A004DF"/>
    <w:rsid w:val="00A0130D"/>
    <w:rsid w:val="00A01664"/>
    <w:rsid w:val="00A0233F"/>
    <w:rsid w:val="00A033F9"/>
    <w:rsid w:val="00A03775"/>
    <w:rsid w:val="00A03C10"/>
    <w:rsid w:val="00A04CF4"/>
    <w:rsid w:val="00A05159"/>
    <w:rsid w:val="00A053CC"/>
    <w:rsid w:val="00A05534"/>
    <w:rsid w:val="00A05DD0"/>
    <w:rsid w:val="00A05EBB"/>
    <w:rsid w:val="00A07165"/>
    <w:rsid w:val="00A07B1D"/>
    <w:rsid w:val="00A07D9C"/>
    <w:rsid w:val="00A104E7"/>
    <w:rsid w:val="00A11BB8"/>
    <w:rsid w:val="00A13A25"/>
    <w:rsid w:val="00A14253"/>
    <w:rsid w:val="00A15754"/>
    <w:rsid w:val="00A16D94"/>
    <w:rsid w:val="00A171E9"/>
    <w:rsid w:val="00A1769E"/>
    <w:rsid w:val="00A20EC8"/>
    <w:rsid w:val="00A21513"/>
    <w:rsid w:val="00A22551"/>
    <w:rsid w:val="00A229B4"/>
    <w:rsid w:val="00A2377E"/>
    <w:rsid w:val="00A23E83"/>
    <w:rsid w:val="00A26AB5"/>
    <w:rsid w:val="00A2710E"/>
    <w:rsid w:val="00A272D3"/>
    <w:rsid w:val="00A2730B"/>
    <w:rsid w:val="00A27834"/>
    <w:rsid w:val="00A301C8"/>
    <w:rsid w:val="00A30C17"/>
    <w:rsid w:val="00A3112C"/>
    <w:rsid w:val="00A31C66"/>
    <w:rsid w:val="00A32002"/>
    <w:rsid w:val="00A3348A"/>
    <w:rsid w:val="00A34816"/>
    <w:rsid w:val="00A354CC"/>
    <w:rsid w:val="00A359ED"/>
    <w:rsid w:val="00A36D6C"/>
    <w:rsid w:val="00A3716C"/>
    <w:rsid w:val="00A3793B"/>
    <w:rsid w:val="00A37BB1"/>
    <w:rsid w:val="00A37D20"/>
    <w:rsid w:val="00A40310"/>
    <w:rsid w:val="00A40AF3"/>
    <w:rsid w:val="00A413BD"/>
    <w:rsid w:val="00A41726"/>
    <w:rsid w:val="00A41F52"/>
    <w:rsid w:val="00A42CD0"/>
    <w:rsid w:val="00A43770"/>
    <w:rsid w:val="00A463B9"/>
    <w:rsid w:val="00A46A54"/>
    <w:rsid w:val="00A5096E"/>
    <w:rsid w:val="00A51126"/>
    <w:rsid w:val="00A51767"/>
    <w:rsid w:val="00A51FC4"/>
    <w:rsid w:val="00A52029"/>
    <w:rsid w:val="00A52710"/>
    <w:rsid w:val="00A53952"/>
    <w:rsid w:val="00A53B89"/>
    <w:rsid w:val="00A53FA3"/>
    <w:rsid w:val="00A55DC7"/>
    <w:rsid w:val="00A56484"/>
    <w:rsid w:val="00A5648C"/>
    <w:rsid w:val="00A565CB"/>
    <w:rsid w:val="00A6170C"/>
    <w:rsid w:val="00A619D4"/>
    <w:rsid w:val="00A62140"/>
    <w:rsid w:val="00A63C6E"/>
    <w:rsid w:val="00A6557A"/>
    <w:rsid w:val="00A664A3"/>
    <w:rsid w:val="00A665D0"/>
    <w:rsid w:val="00A66A9E"/>
    <w:rsid w:val="00A673A1"/>
    <w:rsid w:val="00A673A7"/>
    <w:rsid w:val="00A67937"/>
    <w:rsid w:val="00A679F0"/>
    <w:rsid w:val="00A67B78"/>
    <w:rsid w:val="00A7009B"/>
    <w:rsid w:val="00A70389"/>
    <w:rsid w:val="00A71518"/>
    <w:rsid w:val="00A718AB"/>
    <w:rsid w:val="00A71A7E"/>
    <w:rsid w:val="00A726DE"/>
    <w:rsid w:val="00A72CBB"/>
    <w:rsid w:val="00A739DD"/>
    <w:rsid w:val="00A769BC"/>
    <w:rsid w:val="00A76CC7"/>
    <w:rsid w:val="00A770D8"/>
    <w:rsid w:val="00A779DC"/>
    <w:rsid w:val="00A77CBF"/>
    <w:rsid w:val="00A80B2A"/>
    <w:rsid w:val="00A81320"/>
    <w:rsid w:val="00A81466"/>
    <w:rsid w:val="00A82374"/>
    <w:rsid w:val="00A827DA"/>
    <w:rsid w:val="00A82EB0"/>
    <w:rsid w:val="00A83B2F"/>
    <w:rsid w:val="00A840D3"/>
    <w:rsid w:val="00A84405"/>
    <w:rsid w:val="00A846DA"/>
    <w:rsid w:val="00A8504D"/>
    <w:rsid w:val="00A8505E"/>
    <w:rsid w:val="00A855AE"/>
    <w:rsid w:val="00A86627"/>
    <w:rsid w:val="00A87228"/>
    <w:rsid w:val="00A91B46"/>
    <w:rsid w:val="00A92A22"/>
    <w:rsid w:val="00A93C76"/>
    <w:rsid w:val="00A93CCE"/>
    <w:rsid w:val="00A93EA1"/>
    <w:rsid w:val="00A95E1A"/>
    <w:rsid w:val="00A962DC"/>
    <w:rsid w:val="00A96965"/>
    <w:rsid w:val="00A96A5D"/>
    <w:rsid w:val="00A97034"/>
    <w:rsid w:val="00A97D4D"/>
    <w:rsid w:val="00AA07E6"/>
    <w:rsid w:val="00AA0F82"/>
    <w:rsid w:val="00AA1270"/>
    <w:rsid w:val="00AA2719"/>
    <w:rsid w:val="00AA2F39"/>
    <w:rsid w:val="00AA32CF"/>
    <w:rsid w:val="00AA53C3"/>
    <w:rsid w:val="00AA5BD6"/>
    <w:rsid w:val="00AB1C13"/>
    <w:rsid w:val="00AB2276"/>
    <w:rsid w:val="00AB2669"/>
    <w:rsid w:val="00AB29A6"/>
    <w:rsid w:val="00AB4364"/>
    <w:rsid w:val="00AB4C7F"/>
    <w:rsid w:val="00AB64AD"/>
    <w:rsid w:val="00AB6705"/>
    <w:rsid w:val="00AB6A96"/>
    <w:rsid w:val="00AB6C15"/>
    <w:rsid w:val="00AC101F"/>
    <w:rsid w:val="00AC2F4E"/>
    <w:rsid w:val="00AC46DB"/>
    <w:rsid w:val="00AC581D"/>
    <w:rsid w:val="00AC60A1"/>
    <w:rsid w:val="00AC64B1"/>
    <w:rsid w:val="00AC7066"/>
    <w:rsid w:val="00AC7681"/>
    <w:rsid w:val="00AD0155"/>
    <w:rsid w:val="00AD06DF"/>
    <w:rsid w:val="00AD185F"/>
    <w:rsid w:val="00AD1980"/>
    <w:rsid w:val="00AD209E"/>
    <w:rsid w:val="00AD2B69"/>
    <w:rsid w:val="00AD2C35"/>
    <w:rsid w:val="00AD43C0"/>
    <w:rsid w:val="00AD4E80"/>
    <w:rsid w:val="00AD4F6A"/>
    <w:rsid w:val="00AD526C"/>
    <w:rsid w:val="00AD52BB"/>
    <w:rsid w:val="00AD5A87"/>
    <w:rsid w:val="00AD5CF1"/>
    <w:rsid w:val="00AD5EC7"/>
    <w:rsid w:val="00AD620B"/>
    <w:rsid w:val="00AD6296"/>
    <w:rsid w:val="00AE07D4"/>
    <w:rsid w:val="00AE0856"/>
    <w:rsid w:val="00AE1351"/>
    <w:rsid w:val="00AE177A"/>
    <w:rsid w:val="00AE181C"/>
    <w:rsid w:val="00AE2DD9"/>
    <w:rsid w:val="00AE3D2C"/>
    <w:rsid w:val="00AE3D6D"/>
    <w:rsid w:val="00AE421D"/>
    <w:rsid w:val="00AE4515"/>
    <w:rsid w:val="00AE47FC"/>
    <w:rsid w:val="00AE4AB1"/>
    <w:rsid w:val="00AE528D"/>
    <w:rsid w:val="00AE5575"/>
    <w:rsid w:val="00AE6201"/>
    <w:rsid w:val="00AF0DDA"/>
    <w:rsid w:val="00AF1B6E"/>
    <w:rsid w:val="00AF23B8"/>
    <w:rsid w:val="00AF26C2"/>
    <w:rsid w:val="00AF3CF8"/>
    <w:rsid w:val="00AF4970"/>
    <w:rsid w:val="00AF54AE"/>
    <w:rsid w:val="00B0036A"/>
    <w:rsid w:val="00B004B2"/>
    <w:rsid w:val="00B00CD4"/>
    <w:rsid w:val="00B010F5"/>
    <w:rsid w:val="00B01B4F"/>
    <w:rsid w:val="00B027D4"/>
    <w:rsid w:val="00B0296A"/>
    <w:rsid w:val="00B03200"/>
    <w:rsid w:val="00B03639"/>
    <w:rsid w:val="00B03957"/>
    <w:rsid w:val="00B04903"/>
    <w:rsid w:val="00B05389"/>
    <w:rsid w:val="00B06503"/>
    <w:rsid w:val="00B06768"/>
    <w:rsid w:val="00B06D26"/>
    <w:rsid w:val="00B07C15"/>
    <w:rsid w:val="00B07EEE"/>
    <w:rsid w:val="00B07FA7"/>
    <w:rsid w:val="00B10210"/>
    <w:rsid w:val="00B11B2E"/>
    <w:rsid w:val="00B11D82"/>
    <w:rsid w:val="00B144BC"/>
    <w:rsid w:val="00B1462E"/>
    <w:rsid w:val="00B15223"/>
    <w:rsid w:val="00B1529B"/>
    <w:rsid w:val="00B15D78"/>
    <w:rsid w:val="00B17044"/>
    <w:rsid w:val="00B1727A"/>
    <w:rsid w:val="00B17496"/>
    <w:rsid w:val="00B178DD"/>
    <w:rsid w:val="00B202DF"/>
    <w:rsid w:val="00B20D63"/>
    <w:rsid w:val="00B217E9"/>
    <w:rsid w:val="00B22D66"/>
    <w:rsid w:val="00B23655"/>
    <w:rsid w:val="00B23E96"/>
    <w:rsid w:val="00B23FA0"/>
    <w:rsid w:val="00B24381"/>
    <w:rsid w:val="00B2474C"/>
    <w:rsid w:val="00B24FC9"/>
    <w:rsid w:val="00B25329"/>
    <w:rsid w:val="00B25730"/>
    <w:rsid w:val="00B26E92"/>
    <w:rsid w:val="00B3073B"/>
    <w:rsid w:val="00B335AC"/>
    <w:rsid w:val="00B3370A"/>
    <w:rsid w:val="00B338FC"/>
    <w:rsid w:val="00B33BEA"/>
    <w:rsid w:val="00B33E5E"/>
    <w:rsid w:val="00B347DD"/>
    <w:rsid w:val="00B354BD"/>
    <w:rsid w:val="00B35771"/>
    <w:rsid w:val="00B359C8"/>
    <w:rsid w:val="00B35D5E"/>
    <w:rsid w:val="00B35E4C"/>
    <w:rsid w:val="00B37755"/>
    <w:rsid w:val="00B37CBC"/>
    <w:rsid w:val="00B405E4"/>
    <w:rsid w:val="00B40613"/>
    <w:rsid w:val="00B4219D"/>
    <w:rsid w:val="00B4393D"/>
    <w:rsid w:val="00B43FAD"/>
    <w:rsid w:val="00B443DF"/>
    <w:rsid w:val="00B46624"/>
    <w:rsid w:val="00B47265"/>
    <w:rsid w:val="00B50391"/>
    <w:rsid w:val="00B50F4C"/>
    <w:rsid w:val="00B511E9"/>
    <w:rsid w:val="00B5182D"/>
    <w:rsid w:val="00B519F9"/>
    <w:rsid w:val="00B51D48"/>
    <w:rsid w:val="00B52042"/>
    <w:rsid w:val="00B52E1E"/>
    <w:rsid w:val="00B53606"/>
    <w:rsid w:val="00B53B2F"/>
    <w:rsid w:val="00B54204"/>
    <w:rsid w:val="00B55FB3"/>
    <w:rsid w:val="00B56481"/>
    <w:rsid w:val="00B5763F"/>
    <w:rsid w:val="00B57B61"/>
    <w:rsid w:val="00B63130"/>
    <w:rsid w:val="00B65ABE"/>
    <w:rsid w:val="00B669B5"/>
    <w:rsid w:val="00B67ED1"/>
    <w:rsid w:val="00B70020"/>
    <w:rsid w:val="00B700B8"/>
    <w:rsid w:val="00B7167C"/>
    <w:rsid w:val="00B717D1"/>
    <w:rsid w:val="00B72C3B"/>
    <w:rsid w:val="00B735D2"/>
    <w:rsid w:val="00B74403"/>
    <w:rsid w:val="00B75B9E"/>
    <w:rsid w:val="00B80488"/>
    <w:rsid w:val="00B807A5"/>
    <w:rsid w:val="00B808F8"/>
    <w:rsid w:val="00B82E9D"/>
    <w:rsid w:val="00B83B78"/>
    <w:rsid w:val="00B8415E"/>
    <w:rsid w:val="00B84817"/>
    <w:rsid w:val="00B862DA"/>
    <w:rsid w:val="00B86BB2"/>
    <w:rsid w:val="00B87BEB"/>
    <w:rsid w:val="00B87D38"/>
    <w:rsid w:val="00B87E70"/>
    <w:rsid w:val="00B90280"/>
    <w:rsid w:val="00B90D9A"/>
    <w:rsid w:val="00B91287"/>
    <w:rsid w:val="00B921CF"/>
    <w:rsid w:val="00B92B6C"/>
    <w:rsid w:val="00B93982"/>
    <w:rsid w:val="00B95676"/>
    <w:rsid w:val="00B96D36"/>
    <w:rsid w:val="00B97047"/>
    <w:rsid w:val="00B974A3"/>
    <w:rsid w:val="00B97AE8"/>
    <w:rsid w:val="00BA0F0C"/>
    <w:rsid w:val="00BA1266"/>
    <w:rsid w:val="00BA190D"/>
    <w:rsid w:val="00BA2340"/>
    <w:rsid w:val="00BA2607"/>
    <w:rsid w:val="00BA5007"/>
    <w:rsid w:val="00BA505C"/>
    <w:rsid w:val="00BA52CD"/>
    <w:rsid w:val="00BA557E"/>
    <w:rsid w:val="00BA6BC5"/>
    <w:rsid w:val="00BA6FAD"/>
    <w:rsid w:val="00BA7E49"/>
    <w:rsid w:val="00BB13C2"/>
    <w:rsid w:val="00BB171B"/>
    <w:rsid w:val="00BB3423"/>
    <w:rsid w:val="00BB4A9C"/>
    <w:rsid w:val="00BB4BFA"/>
    <w:rsid w:val="00BB5573"/>
    <w:rsid w:val="00BB5608"/>
    <w:rsid w:val="00BB5E32"/>
    <w:rsid w:val="00BB61FA"/>
    <w:rsid w:val="00BB635B"/>
    <w:rsid w:val="00BB6F8E"/>
    <w:rsid w:val="00BB769F"/>
    <w:rsid w:val="00BB76BC"/>
    <w:rsid w:val="00BB7C80"/>
    <w:rsid w:val="00BC06B5"/>
    <w:rsid w:val="00BC080A"/>
    <w:rsid w:val="00BC1319"/>
    <w:rsid w:val="00BC1A8A"/>
    <w:rsid w:val="00BC1EBC"/>
    <w:rsid w:val="00BC2DEE"/>
    <w:rsid w:val="00BC2F85"/>
    <w:rsid w:val="00BC2F98"/>
    <w:rsid w:val="00BC3609"/>
    <w:rsid w:val="00BC44D2"/>
    <w:rsid w:val="00BC5378"/>
    <w:rsid w:val="00BC6042"/>
    <w:rsid w:val="00BC70D0"/>
    <w:rsid w:val="00BC712D"/>
    <w:rsid w:val="00BC7288"/>
    <w:rsid w:val="00BC729F"/>
    <w:rsid w:val="00BC7A87"/>
    <w:rsid w:val="00BC7DF7"/>
    <w:rsid w:val="00BD0079"/>
    <w:rsid w:val="00BD0D9B"/>
    <w:rsid w:val="00BD104E"/>
    <w:rsid w:val="00BD12D5"/>
    <w:rsid w:val="00BD1A3C"/>
    <w:rsid w:val="00BD1D7F"/>
    <w:rsid w:val="00BD20DF"/>
    <w:rsid w:val="00BD371B"/>
    <w:rsid w:val="00BD38AB"/>
    <w:rsid w:val="00BD39E5"/>
    <w:rsid w:val="00BD3D83"/>
    <w:rsid w:val="00BD3F56"/>
    <w:rsid w:val="00BD448A"/>
    <w:rsid w:val="00BD4F74"/>
    <w:rsid w:val="00BD561B"/>
    <w:rsid w:val="00BD5F60"/>
    <w:rsid w:val="00BD63B1"/>
    <w:rsid w:val="00BD69B7"/>
    <w:rsid w:val="00BD69F7"/>
    <w:rsid w:val="00BD6A55"/>
    <w:rsid w:val="00BD77FE"/>
    <w:rsid w:val="00BD7DBA"/>
    <w:rsid w:val="00BE02F2"/>
    <w:rsid w:val="00BE0585"/>
    <w:rsid w:val="00BE2465"/>
    <w:rsid w:val="00BE3647"/>
    <w:rsid w:val="00BE708D"/>
    <w:rsid w:val="00BE7748"/>
    <w:rsid w:val="00BE79A3"/>
    <w:rsid w:val="00BF02B9"/>
    <w:rsid w:val="00BF183F"/>
    <w:rsid w:val="00BF4565"/>
    <w:rsid w:val="00BF49E4"/>
    <w:rsid w:val="00BF6484"/>
    <w:rsid w:val="00BF67D3"/>
    <w:rsid w:val="00BF6EA3"/>
    <w:rsid w:val="00C006F9"/>
    <w:rsid w:val="00C00728"/>
    <w:rsid w:val="00C01A0F"/>
    <w:rsid w:val="00C01FBB"/>
    <w:rsid w:val="00C03483"/>
    <w:rsid w:val="00C039FF"/>
    <w:rsid w:val="00C03A03"/>
    <w:rsid w:val="00C03CD1"/>
    <w:rsid w:val="00C03D57"/>
    <w:rsid w:val="00C03DED"/>
    <w:rsid w:val="00C0489B"/>
    <w:rsid w:val="00C0517D"/>
    <w:rsid w:val="00C05247"/>
    <w:rsid w:val="00C05CBB"/>
    <w:rsid w:val="00C06251"/>
    <w:rsid w:val="00C074BF"/>
    <w:rsid w:val="00C07EC1"/>
    <w:rsid w:val="00C1030E"/>
    <w:rsid w:val="00C10790"/>
    <w:rsid w:val="00C1092F"/>
    <w:rsid w:val="00C11572"/>
    <w:rsid w:val="00C11886"/>
    <w:rsid w:val="00C121CC"/>
    <w:rsid w:val="00C1259F"/>
    <w:rsid w:val="00C1289D"/>
    <w:rsid w:val="00C12922"/>
    <w:rsid w:val="00C12E59"/>
    <w:rsid w:val="00C14297"/>
    <w:rsid w:val="00C1466E"/>
    <w:rsid w:val="00C14A5A"/>
    <w:rsid w:val="00C14E96"/>
    <w:rsid w:val="00C16428"/>
    <w:rsid w:val="00C178CB"/>
    <w:rsid w:val="00C17BD1"/>
    <w:rsid w:val="00C17C62"/>
    <w:rsid w:val="00C200FA"/>
    <w:rsid w:val="00C207EF"/>
    <w:rsid w:val="00C21A03"/>
    <w:rsid w:val="00C232EF"/>
    <w:rsid w:val="00C235BD"/>
    <w:rsid w:val="00C23904"/>
    <w:rsid w:val="00C23F57"/>
    <w:rsid w:val="00C24AF3"/>
    <w:rsid w:val="00C24FBB"/>
    <w:rsid w:val="00C25E08"/>
    <w:rsid w:val="00C27857"/>
    <w:rsid w:val="00C30067"/>
    <w:rsid w:val="00C3171D"/>
    <w:rsid w:val="00C31BE1"/>
    <w:rsid w:val="00C31FD0"/>
    <w:rsid w:val="00C32E2D"/>
    <w:rsid w:val="00C33337"/>
    <w:rsid w:val="00C334AF"/>
    <w:rsid w:val="00C33840"/>
    <w:rsid w:val="00C33BC9"/>
    <w:rsid w:val="00C33CDB"/>
    <w:rsid w:val="00C3420A"/>
    <w:rsid w:val="00C35BFF"/>
    <w:rsid w:val="00C408C7"/>
    <w:rsid w:val="00C40A72"/>
    <w:rsid w:val="00C4112C"/>
    <w:rsid w:val="00C41457"/>
    <w:rsid w:val="00C41E41"/>
    <w:rsid w:val="00C42B2F"/>
    <w:rsid w:val="00C436AB"/>
    <w:rsid w:val="00C43850"/>
    <w:rsid w:val="00C44354"/>
    <w:rsid w:val="00C4597F"/>
    <w:rsid w:val="00C45C75"/>
    <w:rsid w:val="00C46166"/>
    <w:rsid w:val="00C465BC"/>
    <w:rsid w:val="00C46FED"/>
    <w:rsid w:val="00C47837"/>
    <w:rsid w:val="00C47E05"/>
    <w:rsid w:val="00C5050A"/>
    <w:rsid w:val="00C511C6"/>
    <w:rsid w:val="00C514BF"/>
    <w:rsid w:val="00C51CB6"/>
    <w:rsid w:val="00C522CC"/>
    <w:rsid w:val="00C52411"/>
    <w:rsid w:val="00C526B8"/>
    <w:rsid w:val="00C5362E"/>
    <w:rsid w:val="00C53C29"/>
    <w:rsid w:val="00C55D49"/>
    <w:rsid w:val="00C56E04"/>
    <w:rsid w:val="00C60338"/>
    <w:rsid w:val="00C609AD"/>
    <w:rsid w:val="00C617D2"/>
    <w:rsid w:val="00C61911"/>
    <w:rsid w:val="00C6191E"/>
    <w:rsid w:val="00C62F53"/>
    <w:rsid w:val="00C62F8D"/>
    <w:rsid w:val="00C63024"/>
    <w:rsid w:val="00C63385"/>
    <w:rsid w:val="00C64122"/>
    <w:rsid w:val="00C64D69"/>
    <w:rsid w:val="00C6535E"/>
    <w:rsid w:val="00C65D77"/>
    <w:rsid w:val="00C6635B"/>
    <w:rsid w:val="00C67240"/>
    <w:rsid w:val="00C67478"/>
    <w:rsid w:val="00C679C4"/>
    <w:rsid w:val="00C67F2D"/>
    <w:rsid w:val="00C71963"/>
    <w:rsid w:val="00C71D0B"/>
    <w:rsid w:val="00C721C0"/>
    <w:rsid w:val="00C727E7"/>
    <w:rsid w:val="00C7351B"/>
    <w:rsid w:val="00C73E0A"/>
    <w:rsid w:val="00C747F6"/>
    <w:rsid w:val="00C74B63"/>
    <w:rsid w:val="00C7520F"/>
    <w:rsid w:val="00C75CB6"/>
    <w:rsid w:val="00C76666"/>
    <w:rsid w:val="00C774AA"/>
    <w:rsid w:val="00C81046"/>
    <w:rsid w:val="00C81B41"/>
    <w:rsid w:val="00C825A1"/>
    <w:rsid w:val="00C82A51"/>
    <w:rsid w:val="00C82B83"/>
    <w:rsid w:val="00C82CF4"/>
    <w:rsid w:val="00C83088"/>
    <w:rsid w:val="00C830A7"/>
    <w:rsid w:val="00C833B3"/>
    <w:rsid w:val="00C84213"/>
    <w:rsid w:val="00C844CA"/>
    <w:rsid w:val="00C850D7"/>
    <w:rsid w:val="00C85195"/>
    <w:rsid w:val="00C85393"/>
    <w:rsid w:val="00C85CBE"/>
    <w:rsid w:val="00C8659B"/>
    <w:rsid w:val="00C868B1"/>
    <w:rsid w:val="00C86E5B"/>
    <w:rsid w:val="00C86F96"/>
    <w:rsid w:val="00C87053"/>
    <w:rsid w:val="00C871B1"/>
    <w:rsid w:val="00C8732E"/>
    <w:rsid w:val="00C87461"/>
    <w:rsid w:val="00C87522"/>
    <w:rsid w:val="00C9024B"/>
    <w:rsid w:val="00C9152E"/>
    <w:rsid w:val="00C93094"/>
    <w:rsid w:val="00C9357B"/>
    <w:rsid w:val="00C9398C"/>
    <w:rsid w:val="00C951F0"/>
    <w:rsid w:val="00C952BB"/>
    <w:rsid w:val="00C95664"/>
    <w:rsid w:val="00C96082"/>
    <w:rsid w:val="00C96F70"/>
    <w:rsid w:val="00C97AC7"/>
    <w:rsid w:val="00CA0799"/>
    <w:rsid w:val="00CA0950"/>
    <w:rsid w:val="00CA0EB1"/>
    <w:rsid w:val="00CA16D5"/>
    <w:rsid w:val="00CA1B0E"/>
    <w:rsid w:val="00CA29B6"/>
    <w:rsid w:val="00CA385F"/>
    <w:rsid w:val="00CA3960"/>
    <w:rsid w:val="00CA5BBC"/>
    <w:rsid w:val="00CA5CA3"/>
    <w:rsid w:val="00CA5E69"/>
    <w:rsid w:val="00CA61DB"/>
    <w:rsid w:val="00CA6B46"/>
    <w:rsid w:val="00CA768D"/>
    <w:rsid w:val="00CA7C4D"/>
    <w:rsid w:val="00CB0001"/>
    <w:rsid w:val="00CB0090"/>
    <w:rsid w:val="00CB010F"/>
    <w:rsid w:val="00CB0584"/>
    <w:rsid w:val="00CB074E"/>
    <w:rsid w:val="00CB1D00"/>
    <w:rsid w:val="00CB1FE7"/>
    <w:rsid w:val="00CB24A7"/>
    <w:rsid w:val="00CB26CA"/>
    <w:rsid w:val="00CB3515"/>
    <w:rsid w:val="00CB37F3"/>
    <w:rsid w:val="00CB3C75"/>
    <w:rsid w:val="00CB48AD"/>
    <w:rsid w:val="00CB4A76"/>
    <w:rsid w:val="00CB5764"/>
    <w:rsid w:val="00CB5B92"/>
    <w:rsid w:val="00CB600B"/>
    <w:rsid w:val="00CB6CB6"/>
    <w:rsid w:val="00CB7472"/>
    <w:rsid w:val="00CB751F"/>
    <w:rsid w:val="00CB75FC"/>
    <w:rsid w:val="00CC0ACD"/>
    <w:rsid w:val="00CC1378"/>
    <w:rsid w:val="00CC2256"/>
    <w:rsid w:val="00CC2B0B"/>
    <w:rsid w:val="00CC2CB8"/>
    <w:rsid w:val="00CC3152"/>
    <w:rsid w:val="00CC3EAA"/>
    <w:rsid w:val="00CC48A7"/>
    <w:rsid w:val="00CC4CF5"/>
    <w:rsid w:val="00CC5D5E"/>
    <w:rsid w:val="00CC5F9B"/>
    <w:rsid w:val="00CC6DCE"/>
    <w:rsid w:val="00CD0E58"/>
    <w:rsid w:val="00CD10BC"/>
    <w:rsid w:val="00CD1C32"/>
    <w:rsid w:val="00CD1CD4"/>
    <w:rsid w:val="00CD241D"/>
    <w:rsid w:val="00CD3B4A"/>
    <w:rsid w:val="00CD4116"/>
    <w:rsid w:val="00CD548D"/>
    <w:rsid w:val="00CD578C"/>
    <w:rsid w:val="00CD57B6"/>
    <w:rsid w:val="00CD57DD"/>
    <w:rsid w:val="00CD58A4"/>
    <w:rsid w:val="00CD5AF9"/>
    <w:rsid w:val="00CD5DFE"/>
    <w:rsid w:val="00CD62FE"/>
    <w:rsid w:val="00CD6DFA"/>
    <w:rsid w:val="00CD7CF1"/>
    <w:rsid w:val="00CD7F2A"/>
    <w:rsid w:val="00CE08D7"/>
    <w:rsid w:val="00CE1501"/>
    <w:rsid w:val="00CE24E5"/>
    <w:rsid w:val="00CE3C3B"/>
    <w:rsid w:val="00CE43AF"/>
    <w:rsid w:val="00CE49C1"/>
    <w:rsid w:val="00CE6A74"/>
    <w:rsid w:val="00CE6FDC"/>
    <w:rsid w:val="00CE746F"/>
    <w:rsid w:val="00CE7508"/>
    <w:rsid w:val="00CE7E74"/>
    <w:rsid w:val="00CF063C"/>
    <w:rsid w:val="00CF0D4A"/>
    <w:rsid w:val="00CF12A1"/>
    <w:rsid w:val="00CF132E"/>
    <w:rsid w:val="00CF14C1"/>
    <w:rsid w:val="00CF1738"/>
    <w:rsid w:val="00CF1D8F"/>
    <w:rsid w:val="00CF2F8C"/>
    <w:rsid w:val="00CF3213"/>
    <w:rsid w:val="00CF33B6"/>
    <w:rsid w:val="00CF3908"/>
    <w:rsid w:val="00CF422D"/>
    <w:rsid w:val="00CF4D4F"/>
    <w:rsid w:val="00CF4DEC"/>
    <w:rsid w:val="00CF616D"/>
    <w:rsid w:val="00CF622A"/>
    <w:rsid w:val="00CF64FB"/>
    <w:rsid w:val="00CF6687"/>
    <w:rsid w:val="00CF6B07"/>
    <w:rsid w:val="00CF721A"/>
    <w:rsid w:val="00D00677"/>
    <w:rsid w:val="00D00E6C"/>
    <w:rsid w:val="00D0310B"/>
    <w:rsid w:val="00D035EB"/>
    <w:rsid w:val="00D03BB6"/>
    <w:rsid w:val="00D0571D"/>
    <w:rsid w:val="00D05EDA"/>
    <w:rsid w:val="00D0604D"/>
    <w:rsid w:val="00D06340"/>
    <w:rsid w:val="00D07688"/>
    <w:rsid w:val="00D11892"/>
    <w:rsid w:val="00D1198B"/>
    <w:rsid w:val="00D129B1"/>
    <w:rsid w:val="00D13172"/>
    <w:rsid w:val="00D133D4"/>
    <w:rsid w:val="00D13702"/>
    <w:rsid w:val="00D14E24"/>
    <w:rsid w:val="00D1572A"/>
    <w:rsid w:val="00D15815"/>
    <w:rsid w:val="00D15D5B"/>
    <w:rsid w:val="00D1693E"/>
    <w:rsid w:val="00D17D46"/>
    <w:rsid w:val="00D17F66"/>
    <w:rsid w:val="00D206E5"/>
    <w:rsid w:val="00D21B9E"/>
    <w:rsid w:val="00D2250E"/>
    <w:rsid w:val="00D23123"/>
    <w:rsid w:val="00D2325A"/>
    <w:rsid w:val="00D23AAB"/>
    <w:rsid w:val="00D241C6"/>
    <w:rsid w:val="00D249AB"/>
    <w:rsid w:val="00D25342"/>
    <w:rsid w:val="00D25C02"/>
    <w:rsid w:val="00D26934"/>
    <w:rsid w:val="00D26E28"/>
    <w:rsid w:val="00D27CFD"/>
    <w:rsid w:val="00D30693"/>
    <w:rsid w:val="00D3168C"/>
    <w:rsid w:val="00D31B22"/>
    <w:rsid w:val="00D3206F"/>
    <w:rsid w:val="00D328FE"/>
    <w:rsid w:val="00D35CCE"/>
    <w:rsid w:val="00D37201"/>
    <w:rsid w:val="00D376F3"/>
    <w:rsid w:val="00D40F77"/>
    <w:rsid w:val="00D4100E"/>
    <w:rsid w:val="00D42004"/>
    <w:rsid w:val="00D421C3"/>
    <w:rsid w:val="00D423D6"/>
    <w:rsid w:val="00D45AEE"/>
    <w:rsid w:val="00D46019"/>
    <w:rsid w:val="00D46A0A"/>
    <w:rsid w:val="00D471D9"/>
    <w:rsid w:val="00D474E2"/>
    <w:rsid w:val="00D4788F"/>
    <w:rsid w:val="00D51CCF"/>
    <w:rsid w:val="00D52C99"/>
    <w:rsid w:val="00D52D5A"/>
    <w:rsid w:val="00D53224"/>
    <w:rsid w:val="00D537D7"/>
    <w:rsid w:val="00D539F4"/>
    <w:rsid w:val="00D54366"/>
    <w:rsid w:val="00D545D3"/>
    <w:rsid w:val="00D54D8D"/>
    <w:rsid w:val="00D54E36"/>
    <w:rsid w:val="00D54EEF"/>
    <w:rsid w:val="00D55470"/>
    <w:rsid w:val="00D55B2D"/>
    <w:rsid w:val="00D6062D"/>
    <w:rsid w:val="00D61E92"/>
    <w:rsid w:val="00D61F9D"/>
    <w:rsid w:val="00D61FA1"/>
    <w:rsid w:val="00D62A75"/>
    <w:rsid w:val="00D62AC7"/>
    <w:rsid w:val="00D640C9"/>
    <w:rsid w:val="00D65743"/>
    <w:rsid w:val="00D65C3A"/>
    <w:rsid w:val="00D65C9F"/>
    <w:rsid w:val="00D660B7"/>
    <w:rsid w:val="00D6714F"/>
    <w:rsid w:val="00D6720C"/>
    <w:rsid w:val="00D672CD"/>
    <w:rsid w:val="00D6773A"/>
    <w:rsid w:val="00D70625"/>
    <w:rsid w:val="00D70F8A"/>
    <w:rsid w:val="00D71142"/>
    <w:rsid w:val="00D71238"/>
    <w:rsid w:val="00D71EBA"/>
    <w:rsid w:val="00D720DD"/>
    <w:rsid w:val="00D72221"/>
    <w:rsid w:val="00D72590"/>
    <w:rsid w:val="00D736BC"/>
    <w:rsid w:val="00D7372E"/>
    <w:rsid w:val="00D73D47"/>
    <w:rsid w:val="00D73D96"/>
    <w:rsid w:val="00D7495C"/>
    <w:rsid w:val="00D75C42"/>
    <w:rsid w:val="00D77AB0"/>
    <w:rsid w:val="00D81A2B"/>
    <w:rsid w:val="00D81E3F"/>
    <w:rsid w:val="00D82175"/>
    <w:rsid w:val="00D825D4"/>
    <w:rsid w:val="00D8311D"/>
    <w:rsid w:val="00D83A5E"/>
    <w:rsid w:val="00D83BEF"/>
    <w:rsid w:val="00D83E9E"/>
    <w:rsid w:val="00D85387"/>
    <w:rsid w:val="00D85E77"/>
    <w:rsid w:val="00D872D1"/>
    <w:rsid w:val="00D87690"/>
    <w:rsid w:val="00D87CE3"/>
    <w:rsid w:val="00D912C0"/>
    <w:rsid w:val="00D91CED"/>
    <w:rsid w:val="00D921F9"/>
    <w:rsid w:val="00D92C72"/>
    <w:rsid w:val="00D94B2C"/>
    <w:rsid w:val="00D94D5C"/>
    <w:rsid w:val="00D94EC5"/>
    <w:rsid w:val="00D97335"/>
    <w:rsid w:val="00DA0A87"/>
    <w:rsid w:val="00DA171A"/>
    <w:rsid w:val="00DA18CD"/>
    <w:rsid w:val="00DA2A7D"/>
    <w:rsid w:val="00DA2E2F"/>
    <w:rsid w:val="00DA3117"/>
    <w:rsid w:val="00DA34A4"/>
    <w:rsid w:val="00DA3B70"/>
    <w:rsid w:val="00DA4C66"/>
    <w:rsid w:val="00DA4F52"/>
    <w:rsid w:val="00DA50B6"/>
    <w:rsid w:val="00DA67F7"/>
    <w:rsid w:val="00DA6E94"/>
    <w:rsid w:val="00DB025F"/>
    <w:rsid w:val="00DB0A12"/>
    <w:rsid w:val="00DB0B56"/>
    <w:rsid w:val="00DB18D1"/>
    <w:rsid w:val="00DB325E"/>
    <w:rsid w:val="00DB3424"/>
    <w:rsid w:val="00DB411F"/>
    <w:rsid w:val="00DB434E"/>
    <w:rsid w:val="00DB456D"/>
    <w:rsid w:val="00DB629E"/>
    <w:rsid w:val="00DC00F5"/>
    <w:rsid w:val="00DC09BB"/>
    <w:rsid w:val="00DC10EF"/>
    <w:rsid w:val="00DC3863"/>
    <w:rsid w:val="00DC4018"/>
    <w:rsid w:val="00DC43F4"/>
    <w:rsid w:val="00DC4ADE"/>
    <w:rsid w:val="00DC58A5"/>
    <w:rsid w:val="00DC6497"/>
    <w:rsid w:val="00DC68A5"/>
    <w:rsid w:val="00DC6C6A"/>
    <w:rsid w:val="00DC6C8A"/>
    <w:rsid w:val="00DC7EED"/>
    <w:rsid w:val="00DD00D7"/>
    <w:rsid w:val="00DD10B6"/>
    <w:rsid w:val="00DD350A"/>
    <w:rsid w:val="00DD3CC2"/>
    <w:rsid w:val="00DD4004"/>
    <w:rsid w:val="00DD5C1F"/>
    <w:rsid w:val="00DD5C48"/>
    <w:rsid w:val="00DD65FF"/>
    <w:rsid w:val="00DE115F"/>
    <w:rsid w:val="00DE1477"/>
    <w:rsid w:val="00DE1F70"/>
    <w:rsid w:val="00DE27DA"/>
    <w:rsid w:val="00DE28D0"/>
    <w:rsid w:val="00DE4009"/>
    <w:rsid w:val="00DE4511"/>
    <w:rsid w:val="00DE4E44"/>
    <w:rsid w:val="00DE5612"/>
    <w:rsid w:val="00DE56DB"/>
    <w:rsid w:val="00DE7D7C"/>
    <w:rsid w:val="00DF0A3B"/>
    <w:rsid w:val="00DF0CAF"/>
    <w:rsid w:val="00DF0FE6"/>
    <w:rsid w:val="00DF2E84"/>
    <w:rsid w:val="00DF2F9E"/>
    <w:rsid w:val="00DF35A5"/>
    <w:rsid w:val="00DF44B5"/>
    <w:rsid w:val="00DF4AFC"/>
    <w:rsid w:val="00DF57F6"/>
    <w:rsid w:val="00DF5972"/>
    <w:rsid w:val="00DF604C"/>
    <w:rsid w:val="00DF6187"/>
    <w:rsid w:val="00DF658B"/>
    <w:rsid w:val="00DF6DBF"/>
    <w:rsid w:val="00DF6EC1"/>
    <w:rsid w:val="00DF6FB2"/>
    <w:rsid w:val="00DF7342"/>
    <w:rsid w:val="00DF7531"/>
    <w:rsid w:val="00E00812"/>
    <w:rsid w:val="00E01831"/>
    <w:rsid w:val="00E01C5A"/>
    <w:rsid w:val="00E02CF5"/>
    <w:rsid w:val="00E04D62"/>
    <w:rsid w:val="00E04F3A"/>
    <w:rsid w:val="00E06964"/>
    <w:rsid w:val="00E07C97"/>
    <w:rsid w:val="00E1039B"/>
    <w:rsid w:val="00E106DC"/>
    <w:rsid w:val="00E10E3E"/>
    <w:rsid w:val="00E115ED"/>
    <w:rsid w:val="00E12178"/>
    <w:rsid w:val="00E12D3A"/>
    <w:rsid w:val="00E12FC7"/>
    <w:rsid w:val="00E138C5"/>
    <w:rsid w:val="00E1467F"/>
    <w:rsid w:val="00E15331"/>
    <w:rsid w:val="00E165F9"/>
    <w:rsid w:val="00E169C2"/>
    <w:rsid w:val="00E215BE"/>
    <w:rsid w:val="00E219A3"/>
    <w:rsid w:val="00E23116"/>
    <w:rsid w:val="00E24DA4"/>
    <w:rsid w:val="00E24FC0"/>
    <w:rsid w:val="00E25FFC"/>
    <w:rsid w:val="00E2612A"/>
    <w:rsid w:val="00E30065"/>
    <w:rsid w:val="00E30270"/>
    <w:rsid w:val="00E305CB"/>
    <w:rsid w:val="00E306CB"/>
    <w:rsid w:val="00E3089E"/>
    <w:rsid w:val="00E30C51"/>
    <w:rsid w:val="00E30F1E"/>
    <w:rsid w:val="00E3193A"/>
    <w:rsid w:val="00E31F4E"/>
    <w:rsid w:val="00E324D1"/>
    <w:rsid w:val="00E32C5F"/>
    <w:rsid w:val="00E332A7"/>
    <w:rsid w:val="00E33DEB"/>
    <w:rsid w:val="00E342A4"/>
    <w:rsid w:val="00E345F5"/>
    <w:rsid w:val="00E35679"/>
    <w:rsid w:val="00E3615D"/>
    <w:rsid w:val="00E365C2"/>
    <w:rsid w:val="00E36711"/>
    <w:rsid w:val="00E37C9E"/>
    <w:rsid w:val="00E401B5"/>
    <w:rsid w:val="00E41599"/>
    <w:rsid w:val="00E423E9"/>
    <w:rsid w:val="00E428E5"/>
    <w:rsid w:val="00E4396D"/>
    <w:rsid w:val="00E43B87"/>
    <w:rsid w:val="00E44FFC"/>
    <w:rsid w:val="00E456CB"/>
    <w:rsid w:val="00E45DBD"/>
    <w:rsid w:val="00E4619C"/>
    <w:rsid w:val="00E4717D"/>
    <w:rsid w:val="00E502A5"/>
    <w:rsid w:val="00E505E7"/>
    <w:rsid w:val="00E5087A"/>
    <w:rsid w:val="00E50C69"/>
    <w:rsid w:val="00E50FDE"/>
    <w:rsid w:val="00E523F8"/>
    <w:rsid w:val="00E52E46"/>
    <w:rsid w:val="00E53623"/>
    <w:rsid w:val="00E54125"/>
    <w:rsid w:val="00E55136"/>
    <w:rsid w:val="00E55656"/>
    <w:rsid w:val="00E569D7"/>
    <w:rsid w:val="00E5785F"/>
    <w:rsid w:val="00E600AD"/>
    <w:rsid w:val="00E63F7B"/>
    <w:rsid w:val="00E648E7"/>
    <w:rsid w:val="00E651D8"/>
    <w:rsid w:val="00E6581D"/>
    <w:rsid w:val="00E65E07"/>
    <w:rsid w:val="00E66471"/>
    <w:rsid w:val="00E66D48"/>
    <w:rsid w:val="00E675F4"/>
    <w:rsid w:val="00E67769"/>
    <w:rsid w:val="00E67BB2"/>
    <w:rsid w:val="00E70BE2"/>
    <w:rsid w:val="00E723D3"/>
    <w:rsid w:val="00E72768"/>
    <w:rsid w:val="00E72C41"/>
    <w:rsid w:val="00E72F22"/>
    <w:rsid w:val="00E736E5"/>
    <w:rsid w:val="00E73FC2"/>
    <w:rsid w:val="00E74246"/>
    <w:rsid w:val="00E747A1"/>
    <w:rsid w:val="00E772D4"/>
    <w:rsid w:val="00E77706"/>
    <w:rsid w:val="00E82316"/>
    <w:rsid w:val="00E82634"/>
    <w:rsid w:val="00E82D9E"/>
    <w:rsid w:val="00E84073"/>
    <w:rsid w:val="00E85C08"/>
    <w:rsid w:val="00E86382"/>
    <w:rsid w:val="00E86898"/>
    <w:rsid w:val="00E86E96"/>
    <w:rsid w:val="00E872B1"/>
    <w:rsid w:val="00E91185"/>
    <w:rsid w:val="00E91282"/>
    <w:rsid w:val="00E91C56"/>
    <w:rsid w:val="00E930C0"/>
    <w:rsid w:val="00E93AB8"/>
    <w:rsid w:val="00E94AAA"/>
    <w:rsid w:val="00E94C80"/>
    <w:rsid w:val="00E94D67"/>
    <w:rsid w:val="00E9619A"/>
    <w:rsid w:val="00E96BB1"/>
    <w:rsid w:val="00E97E85"/>
    <w:rsid w:val="00EA02B2"/>
    <w:rsid w:val="00EA0669"/>
    <w:rsid w:val="00EA0DF9"/>
    <w:rsid w:val="00EA1BC7"/>
    <w:rsid w:val="00EA1C93"/>
    <w:rsid w:val="00EA1E94"/>
    <w:rsid w:val="00EA260F"/>
    <w:rsid w:val="00EA2C39"/>
    <w:rsid w:val="00EA444D"/>
    <w:rsid w:val="00EA4C46"/>
    <w:rsid w:val="00EA6959"/>
    <w:rsid w:val="00EA69FC"/>
    <w:rsid w:val="00EB016F"/>
    <w:rsid w:val="00EB2102"/>
    <w:rsid w:val="00EB22DF"/>
    <w:rsid w:val="00EB2863"/>
    <w:rsid w:val="00EB30AE"/>
    <w:rsid w:val="00EB39F2"/>
    <w:rsid w:val="00EB3BA2"/>
    <w:rsid w:val="00EB4AA1"/>
    <w:rsid w:val="00EB57F2"/>
    <w:rsid w:val="00EB642D"/>
    <w:rsid w:val="00EC0351"/>
    <w:rsid w:val="00EC097B"/>
    <w:rsid w:val="00EC0C73"/>
    <w:rsid w:val="00EC1FAE"/>
    <w:rsid w:val="00EC1FF6"/>
    <w:rsid w:val="00EC295D"/>
    <w:rsid w:val="00EC2970"/>
    <w:rsid w:val="00EC3562"/>
    <w:rsid w:val="00EC5123"/>
    <w:rsid w:val="00EC5DC2"/>
    <w:rsid w:val="00EC69BA"/>
    <w:rsid w:val="00EC6DC3"/>
    <w:rsid w:val="00EC735A"/>
    <w:rsid w:val="00EC7D5D"/>
    <w:rsid w:val="00ED029F"/>
    <w:rsid w:val="00ED1D58"/>
    <w:rsid w:val="00ED21B7"/>
    <w:rsid w:val="00ED2EED"/>
    <w:rsid w:val="00ED3B89"/>
    <w:rsid w:val="00ED5008"/>
    <w:rsid w:val="00ED51D4"/>
    <w:rsid w:val="00ED5CF5"/>
    <w:rsid w:val="00ED6752"/>
    <w:rsid w:val="00ED7415"/>
    <w:rsid w:val="00ED7F3C"/>
    <w:rsid w:val="00EE01CB"/>
    <w:rsid w:val="00EE2B1D"/>
    <w:rsid w:val="00EE34AB"/>
    <w:rsid w:val="00EE4378"/>
    <w:rsid w:val="00EE46A7"/>
    <w:rsid w:val="00EE5A3A"/>
    <w:rsid w:val="00EE604F"/>
    <w:rsid w:val="00EE627A"/>
    <w:rsid w:val="00EE6A1D"/>
    <w:rsid w:val="00EE6DE0"/>
    <w:rsid w:val="00EE6FA9"/>
    <w:rsid w:val="00EE71C7"/>
    <w:rsid w:val="00EE7FF1"/>
    <w:rsid w:val="00EF01E3"/>
    <w:rsid w:val="00EF0280"/>
    <w:rsid w:val="00EF083F"/>
    <w:rsid w:val="00EF0908"/>
    <w:rsid w:val="00EF1B53"/>
    <w:rsid w:val="00EF2A62"/>
    <w:rsid w:val="00EF4286"/>
    <w:rsid w:val="00EF4354"/>
    <w:rsid w:val="00EF47D5"/>
    <w:rsid w:val="00EF5ED7"/>
    <w:rsid w:val="00EF686E"/>
    <w:rsid w:val="00EF68E3"/>
    <w:rsid w:val="00EF6ACB"/>
    <w:rsid w:val="00EF6F12"/>
    <w:rsid w:val="00EF6F48"/>
    <w:rsid w:val="00EF7CA1"/>
    <w:rsid w:val="00F0057D"/>
    <w:rsid w:val="00F006C2"/>
    <w:rsid w:val="00F00A18"/>
    <w:rsid w:val="00F02E67"/>
    <w:rsid w:val="00F04A33"/>
    <w:rsid w:val="00F04BAC"/>
    <w:rsid w:val="00F05BB1"/>
    <w:rsid w:val="00F061D1"/>
    <w:rsid w:val="00F077CA"/>
    <w:rsid w:val="00F10045"/>
    <w:rsid w:val="00F10A61"/>
    <w:rsid w:val="00F112B7"/>
    <w:rsid w:val="00F118A7"/>
    <w:rsid w:val="00F139C3"/>
    <w:rsid w:val="00F1404B"/>
    <w:rsid w:val="00F141BE"/>
    <w:rsid w:val="00F14760"/>
    <w:rsid w:val="00F15B9D"/>
    <w:rsid w:val="00F17044"/>
    <w:rsid w:val="00F203FC"/>
    <w:rsid w:val="00F20A99"/>
    <w:rsid w:val="00F21143"/>
    <w:rsid w:val="00F215B6"/>
    <w:rsid w:val="00F23C1B"/>
    <w:rsid w:val="00F23E6C"/>
    <w:rsid w:val="00F24515"/>
    <w:rsid w:val="00F24AB6"/>
    <w:rsid w:val="00F26E8B"/>
    <w:rsid w:val="00F274B5"/>
    <w:rsid w:val="00F27910"/>
    <w:rsid w:val="00F31A58"/>
    <w:rsid w:val="00F330CC"/>
    <w:rsid w:val="00F33714"/>
    <w:rsid w:val="00F34A4B"/>
    <w:rsid w:val="00F35FA1"/>
    <w:rsid w:val="00F3782A"/>
    <w:rsid w:val="00F37EAD"/>
    <w:rsid w:val="00F40B22"/>
    <w:rsid w:val="00F42A79"/>
    <w:rsid w:val="00F4395B"/>
    <w:rsid w:val="00F43AD4"/>
    <w:rsid w:val="00F44059"/>
    <w:rsid w:val="00F44341"/>
    <w:rsid w:val="00F44E1B"/>
    <w:rsid w:val="00F45A6C"/>
    <w:rsid w:val="00F46878"/>
    <w:rsid w:val="00F4749D"/>
    <w:rsid w:val="00F47E4D"/>
    <w:rsid w:val="00F50804"/>
    <w:rsid w:val="00F50B99"/>
    <w:rsid w:val="00F52178"/>
    <w:rsid w:val="00F5293C"/>
    <w:rsid w:val="00F52A6D"/>
    <w:rsid w:val="00F530B2"/>
    <w:rsid w:val="00F53154"/>
    <w:rsid w:val="00F53381"/>
    <w:rsid w:val="00F533B1"/>
    <w:rsid w:val="00F54C86"/>
    <w:rsid w:val="00F553F1"/>
    <w:rsid w:val="00F5588E"/>
    <w:rsid w:val="00F57307"/>
    <w:rsid w:val="00F57E35"/>
    <w:rsid w:val="00F607F2"/>
    <w:rsid w:val="00F60ED5"/>
    <w:rsid w:val="00F61FB4"/>
    <w:rsid w:val="00F6318D"/>
    <w:rsid w:val="00F64B5D"/>
    <w:rsid w:val="00F6550E"/>
    <w:rsid w:val="00F65968"/>
    <w:rsid w:val="00F65A36"/>
    <w:rsid w:val="00F65FC0"/>
    <w:rsid w:val="00F66878"/>
    <w:rsid w:val="00F66E6F"/>
    <w:rsid w:val="00F6707D"/>
    <w:rsid w:val="00F67831"/>
    <w:rsid w:val="00F71162"/>
    <w:rsid w:val="00F7166E"/>
    <w:rsid w:val="00F718B7"/>
    <w:rsid w:val="00F72D21"/>
    <w:rsid w:val="00F74255"/>
    <w:rsid w:val="00F7439B"/>
    <w:rsid w:val="00F74458"/>
    <w:rsid w:val="00F74D69"/>
    <w:rsid w:val="00F74FD6"/>
    <w:rsid w:val="00F75673"/>
    <w:rsid w:val="00F76BF6"/>
    <w:rsid w:val="00F80A41"/>
    <w:rsid w:val="00F80F85"/>
    <w:rsid w:val="00F812C5"/>
    <w:rsid w:val="00F826DF"/>
    <w:rsid w:val="00F82F15"/>
    <w:rsid w:val="00F83205"/>
    <w:rsid w:val="00F8323E"/>
    <w:rsid w:val="00F83652"/>
    <w:rsid w:val="00F847FD"/>
    <w:rsid w:val="00F84C84"/>
    <w:rsid w:val="00F867CF"/>
    <w:rsid w:val="00F868DF"/>
    <w:rsid w:val="00F86C70"/>
    <w:rsid w:val="00F9044F"/>
    <w:rsid w:val="00F92A84"/>
    <w:rsid w:val="00F931EB"/>
    <w:rsid w:val="00F9557E"/>
    <w:rsid w:val="00F975F2"/>
    <w:rsid w:val="00F97E96"/>
    <w:rsid w:val="00FA06ED"/>
    <w:rsid w:val="00FA0EC1"/>
    <w:rsid w:val="00FA2106"/>
    <w:rsid w:val="00FA2EBE"/>
    <w:rsid w:val="00FA3010"/>
    <w:rsid w:val="00FA3404"/>
    <w:rsid w:val="00FA373E"/>
    <w:rsid w:val="00FA3799"/>
    <w:rsid w:val="00FA44B1"/>
    <w:rsid w:val="00FA45A9"/>
    <w:rsid w:val="00FA52F5"/>
    <w:rsid w:val="00FA54D2"/>
    <w:rsid w:val="00FA5CC9"/>
    <w:rsid w:val="00FA68CA"/>
    <w:rsid w:val="00FA6C52"/>
    <w:rsid w:val="00FA70BE"/>
    <w:rsid w:val="00FA76B9"/>
    <w:rsid w:val="00FA7837"/>
    <w:rsid w:val="00FB02B5"/>
    <w:rsid w:val="00FB17C4"/>
    <w:rsid w:val="00FB24D6"/>
    <w:rsid w:val="00FB31B8"/>
    <w:rsid w:val="00FB34C1"/>
    <w:rsid w:val="00FB366B"/>
    <w:rsid w:val="00FB39A6"/>
    <w:rsid w:val="00FB3AD8"/>
    <w:rsid w:val="00FB5041"/>
    <w:rsid w:val="00FB605C"/>
    <w:rsid w:val="00FB798F"/>
    <w:rsid w:val="00FB7CF5"/>
    <w:rsid w:val="00FB7F75"/>
    <w:rsid w:val="00FC08BF"/>
    <w:rsid w:val="00FC1A72"/>
    <w:rsid w:val="00FC2228"/>
    <w:rsid w:val="00FC2C6B"/>
    <w:rsid w:val="00FC2F3C"/>
    <w:rsid w:val="00FC320B"/>
    <w:rsid w:val="00FC3C40"/>
    <w:rsid w:val="00FC3CD0"/>
    <w:rsid w:val="00FC4807"/>
    <w:rsid w:val="00FC4986"/>
    <w:rsid w:val="00FC4AEB"/>
    <w:rsid w:val="00FC4AF8"/>
    <w:rsid w:val="00FC52EB"/>
    <w:rsid w:val="00FC56F0"/>
    <w:rsid w:val="00FC6359"/>
    <w:rsid w:val="00FC677F"/>
    <w:rsid w:val="00FC6DA2"/>
    <w:rsid w:val="00FC74CE"/>
    <w:rsid w:val="00FC7B3C"/>
    <w:rsid w:val="00FD0358"/>
    <w:rsid w:val="00FD04FF"/>
    <w:rsid w:val="00FD131B"/>
    <w:rsid w:val="00FD1650"/>
    <w:rsid w:val="00FD1C04"/>
    <w:rsid w:val="00FD2134"/>
    <w:rsid w:val="00FD221D"/>
    <w:rsid w:val="00FD4AE9"/>
    <w:rsid w:val="00FD5676"/>
    <w:rsid w:val="00FD598C"/>
    <w:rsid w:val="00FD6409"/>
    <w:rsid w:val="00FD7855"/>
    <w:rsid w:val="00FE0D22"/>
    <w:rsid w:val="00FE1403"/>
    <w:rsid w:val="00FE22C9"/>
    <w:rsid w:val="00FE28C7"/>
    <w:rsid w:val="00FE2F39"/>
    <w:rsid w:val="00FE371E"/>
    <w:rsid w:val="00FE48A8"/>
    <w:rsid w:val="00FE5BA6"/>
    <w:rsid w:val="00FE6790"/>
    <w:rsid w:val="00FE6F29"/>
    <w:rsid w:val="00FF0BC7"/>
    <w:rsid w:val="00FF12A6"/>
    <w:rsid w:val="00FF1CDC"/>
    <w:rsid w:val="00FF2290"/>
    <w:rsid w:val="00FF580F"/>
    <w:rsid w:val="00FF665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F4A63"/>
  <w15:docId w15:val="{DF5C8CFD-C0AD-4CA9-A3BB-0D03CBDF8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99" w:unhideWhenUsed="1"/>
    <w:lsdException w:name="toc 3" w:semiHidden="1" w:uiPriority="9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iPriority="1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0391"/>
    <w:pPr>
      <w:spacing w:line="280" w:lineRule="atLeast"/>
    </w:pPr>
  </w:style>
  <w:style w:type="paragraph" w:styleId="Heading1">
    <w:name w:val="heading 1"/>
    <w:basedOn w:val="Normal"/>
    <w:next w:val="BodyText"/>
    <w:link w:val="Heading1Char"/>
    <w:uiPriority w:val="9"/>
    <w:qFormat/>
    <w:rsid w:val="006A21DA"/>
    <w:pPr>
      <w:keepNext/>
      <w:spacing w:before="240" w:line="216" w:lineRule="auto"/>
      <w:outlineLvl w:val="0"/>
    </w:pPr>
    <w:rPr>
      <w:rFonts w:asciiTheme="majorHAnsi" w:eastAsiaTheme="minorHAnsi" w:hAnsiTheme="majorHAnsi" w:cs="Arial"/>
      <w:bCs/>
      <w:sz w:val="80"/>
      <w:szCs w:val="80"/>
    </w:rPr>
  </w:style>
  <w:style w:type="paragraph" w:styleId="Heading2">
    <w:name w:val="heading 2"/>
    <w:basedOn w:val="Heading1"/>
    <w:next w:val="BodyText"/>
    <w:link w:val="Heading2Char"/>
    <w:uiPriority w:val="9"/>
    <w:qFormat/>
    <w:rsid w:val="00A726DE"/>
    <w:pPr>
      <w:outlineLvl w:val="1"/>
    </w:pPr>
    <w:rPr>
      <w:rFonts w:asciiTheme="minorHAnsi" w:hAnsiTheme="minorHAnsi" w:cstheme="minorHAnsi"/>
      <w:b/>
      <w:iCs/>
      <w:color w:val="4A0080" w:themeColor="accent2"/>
      <w:sz w:val="28"/>
      <w:szCs w:val="28"/>
    </w:rPr>
  </w:style>
  <w:style w:type="paragraph" w:styleId="Heading3">
    <w:name w:val="heading 3"/>
    <w:basedOn w:val="Normal"/>
    <w:next w:val="BodyText"/>
    <w:link w:val="Heading3Char"/>
    <w:uiPriority w:val="9"/>
    <w:unhideWhenUsed/>
    <w:qFormat/>
    <w:rsid w:val="006A21DA"/>
    <w:pPr>
      <w:spacing w:line="240" w:lineRule="auto"/>
      <w:contextualSpacing/>
      <w:outlineLvl w:val="2"/>
    </w:pPr>
    <w:rPr>
      <w:bCs/>
      <w:color w:val="4A0080" w:themeColor="accent2"/>
      <w:sz w:val="34"/>
      <w:szCs w:val="34"/>
    </w:rPr>
  </w:style>
  <w:style w:type="paragraph" w:styleId="Heading4">
    <w:name w:val="heading 4"/>
    <w:basedOn w:val="Normal"/>
    <w:next w:val="BodyText"/>
    <w:link w:val="Heading4Char"/>
    <w:uiPriority w:val="9"/>
    <w:semiHidden/>
    <w:unhideWhenUsed/>
    <w:rsid w:val="004F56A7"/>
    <w:pPr>
      <w:keepNext/>
      <w:spacing w:before="200" w:after="120"/>
      <w:outlineLvl w:val="3"/>
    </w:pPr>
    <w:rPr>
      <w:rFonts w:asciiTheme="majorHAnsi" w:hAnsiTheme="majorHAnsi"/>
      <w:b/>
      <w:bCs/>
      <w:i/>
      <w:szCs w:val="28"/>
    </w:rPr>
  </w:style>
  <w:style w:type="paragraph" w:styleId="Heading5">
    <w:name w:val="heading 5"/>
    <w:basedOn w:val="Normal"/>
    <w:next w:val="Normal"/>
    <w:link w:val="Heading5Char"/>
    <w:semiHidden/>
    <w:unhideWhenUsed/>
    <w:rsid w:val="000B7E73"/>
    <w:pPr>
      <w:keepNext/>
      <w:keepLines/>
      <w:numPr>
        <w:ilvl w:val="4"/>
        <w:numId w:val="4"/>
      </w:numPr>
      <w:spacing w:before="200"/>
      <w:outlineLvl w:val="4"/>
    </w:pPr>
    <w:rPr>
      <w:rFonts w:asciiTheme="majorHAnsi" w:eastAsiaTheme="majorEastAsia" w:hAnsiTheme="majorHAnsi" w:cstheme="majorBidi"/>
      <w:color w:val="05175A" w:themeColor="accent1" w:themeShade="7F"/>
    </w:rPr>
  </w:style>
  <w:style w:type="paragraph" w:styleId="Heading6">
    <w:name w:val="heading 6"/>
    <w:basedOn w:val="Normal"/>
    <w:next w:val="Normal"/>
    <w:link w:val="Heading6Char"/>
    <w:semiHidden/>
    <w:unhideWhenUsed/>
    <w:rsid w:val="000B7E73"/>
    <w:pPr>
      <w:keepNext/>
      <w:keepLines/>
      <w:numPr>
        <w:ilvl w:val="5"/>
        <w:numId w:val="4"/>
      </w:numPr>
      <w:spacing w:before="200"/>
      <w:outlineLvl w:val="5"/>
    </w:pPr>
    <w:rPr>
      <w:rFonts w:asciiTheme="majorHAnsi" w:eastAsiaTheme="majorEastAsia" w:hAnsiTheme="majorHAnsi" w:cstheme="majorBidi"/>
      <w:i/>
      <w:iCs/>
      <w:color w:val="05175A" w:themeColor="accent1" w:themeShade="7F"/>
    </w:rPr>
  </w:style>
  <w:style w:type="paragraph" w:styleId="Heading7">
    <w:name w:val="heading 7"/>
    <w:basedOn w:val="Normal"/>
    <w:next w:val="Normal"/>
    <w:link w:val="Heading7Char"/>
    <w:semiHidden/>
    <w:unhideWhenUsed/>
    <w:rsid w:val="000B7E73"/>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rsid w:val="000B7E73"/>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rsid w:val="000B7E73"/>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F767C"/>
    <w:pPr>
      <w:tabs>
        <w:tab w:val="center" w:pos="4680"/>
        <w:tab w:val="right" w:pos="8640"/>
      </w:tabs>
      <w:overflowPunct w:val="0"/>
      <w:autoSpaceDE w:val="0"/>
      <w:autoSpaceDN w:val="0"/>
      <w:adjustRightInd w:val="0"/>
      <w:spacing w:line="240" w:lineRule="auto"/>
      <w:textAlignment w:val="baseline"/>
    </w:pPr>
    <w:rPr>
      <w:rFonts w:eastAsia="Times New Roman"/>
      <w:color w:val="828284"/>
      <w:szCs w:val="16"/>
    </w:rPr>
  </w:style>
  <w:style w:type="paragraph" w:styleId="Header">
    <w:name w:val="header"/>
    <w:basedOn w:val="Normal"/>
    <w:rsid w:val="007C6265"/>
    <w:pPr>
      <w:tabs>
        <w:tab w:val="center" w:pos="4820"/>
        <w:tab w:val="right" w:pos="9639"/>
      </w:tabs>
      <w:overflowPunct w:val="0"/>
      <w:autoSpaceDE w:val="0"/>
      <w:autoSpaceDN w:val="0"/>
      <w:adjustRightInd w:val="0"/>
      <w:spacing w:before="240" w:after="480"/>
      <w:textAlignment w:val="baseline"/>
    </w:pPr>
    <w:rPr>
      <w:rFonts w:eastAsia="Times New Roman"/>
    </w:rPr>
  </w:style>
  <w:style w:type="paragraph" w:customStyle="1" w:styleId="RRATCDate">
    <w:name w:val="RRAT&amp;CDate"/>
    <w:basedOn w:val="Normal"/>
    <w:rsid w:val="00547073"/>
    <w:pPr>
      <w:tabs>
        <w:tab w:val="right" w:leader="dot" w:pos="8278"/>
      </w:tabs>
      <w:overflowPunct w:val="0"/>
      <w:autoSpaceDE w:val="0"/>
      <w:autoSpaceDN w:val="0"/>
      <w:adjustRightInd w:val="0"/>
      <w:spacing w:before="260" w:after="260" w:line="240" w:lineRule="atLeast"/>
      <w:jc w:val="right"/>
      <w:textAlignment w:val="baseline"/>
    </w:pPr>
    <w:rPr>
      <w:rFonts w:ascii="Arial" w:eastAsia="MS PGothic" w:hAnsi="Arial"/>
      <w:b/>
      <w:bCs/>
      <w:color w:val="000000"/>
      <w:szCs w:val="22"/>
    </w:rPr>
  </w:style>
  <w:style w:type="paragraph" w:customStyle="1" w:styleId="RRAAddress">
    <w:name w:val="RRAAddress"/>
    <w:link w:val="RRAAddressChar"/>
    <w:rsid w:val="00547073"/>
    <w:pPr>
      <w:keepLines/>
      <w:tabs>
        <w:tab w:val="right" w:pos="9840"/>
      </w:tabs>
      <w:overflowPunct w:val="0"/>
      <w:autoSpaceDE w:val="0"/>
      <w:autoSpaceDN w:val="0"/>
      <w:adjustRightInd w:val="0"/>
      <w:spacing w:before="120" w:after="120"/>
      <w:textAlignment w:val="baseline"/>
    </w:pPr>
    <w:rPr>
      <w:rFonts w:eastAsia="MS PGothic"/>
      <w:sz w:val="24"/>
      <w:szCs w:val="24"/>
    </w:rPr>
  </w:style>
  <w:style w:type="paragraph" w:customStyle="1" w:styleId="RRAHeading1">
    <w:name w:val="RRAHeading1"/>
    <w:basedOn w:val="HeaderText1"/>
    <w:rsid w:val="000772A5"/>
    <w:pPr>
      <w:tabs>
        <w:tab w:val="right" w:pos="9360"/>
      </w:tabs>
      <w:jc w:val="right"/>
    </w:pPr>
  </w:style>
  <w:style w:type="paragraph" w:customStyle="1" w:styleId="RRAHeading3">
    <w:name w:val="RRAHeading3"/>
    <w:basedOn w:val="RRAHeading1"/>
    <w:next w:val="Normal"/>
    <w:autoRedefine/>
    <w:rsid w:val="000959E4"/>
    <w:pPr>
      <w:spacing w:before="360" w:after="120"/>
      <w:jc w:val="left"/>
    </w:pPr>
    <w:rPr>
      <w:bCs w:val="0"/>
      <w:iCs/>
      <w:sz w:val="22"/>
      <w:szCs w:val="22"/>
    </w:rPr>
  </w:style>
  <w:style w:type="paragraph" w:customStyle="1" w:styleId="RRATitleHeading4">
    <w:name w:val="RRATitleHeading4"/>
    <w:basedOn w:val="RRATitleHeading"/>
    <w:rsid w:val="00547073"/>
    <w:pPr>
      <w:tabs>
        <w:tab w:val="left" w:pos="3000"/>
      </w:tabs>
    </w:pPr>
    <w:rPr>
      <w:sz w:val="20"/>
      <w:szCs w:val="20"/>
    </w:rPr>
  </w:style>
  <w:style w:type="paragraph" w:customStyle="1" w:styleId="RRACandidate">
    <w:name w:val="RRACandidate"/>
    <w:basedOn w:val="Normal"/>
    <w:rsid w:val="00E30270"/>
    <w:pPr>
      <w:overflowPunct w:val="0"/>
      <w:autoSpaceDE w:val="0"/>
      <w:autoSpaceDN w:val="0"/>
      <w:adjustRightInd w:val="0"/>
      <w:textAlignment w:val="baseline"/>
    </w:pPr>
    <w:rPr>
      <w:rFonts w:eastAsia="MS PGothic"/>
    </w:rPr>
  </w:style>
  <w:style w:type="table" w:styleId="TableGrid">
    <w:name w:val="Table Grid"/>
    <w:basedOn w:val="TableNormal"/>
    <w:rsid w:val="007270FD"/>
    <w:pPr>
      <w:overflowPunct w:val="0"/>
      <w:autoSpaceDE w:val="0"/>
      <w:autoSpaceDN w:val="0"/>
      <w:adjustRightInd w:val="0"/>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RACandidateName">
    <w:name w:val="RRACandidateName"/>
    <w:basedOn w:val="RRAHeading3"/>
    <w:rsid w:val="00547073"/>
    <w:pPr>
      <w:spacing w:before="0" w:after="0"/>
    </w:pPr>
  </w:style>
  <w:style w:type="paragraph" w:customStyle="1" w:styleId="CandidateName">
    <w:name w:val="CandidateName"/>
    <w:basedOn w:val="RRAHeading3"/>
    <w:rsid w:val="00064617"/>
    <w:pPr>
      <w:spacing w:before="0" w:after="0"/>
    </w:pPr>
  </w:style>
  <w:style w:type="character" w:styleId="PageNumber">
    <w:name w:val="page number"/>
    <w:basedOn w:val="DefaultParagraphFont"/>
    <w:rsid w:val="007C6265"/>
    <w:rPr>
      <w:lang w:val="en-GB"/>
    </w:rPr>
  </w:style>
  <w:style w:type="paragraph" w:customStyle="1" w:styleId="RRAHeading2">
    <w:name w:val="RRAHeading2"/>
    <w:basedOn w:val="RRATextHeading3"/>
    <w:rsid w:val="000772A5"/>
  </w:style>
  <w:style w:type="paragraph" w:customStyle="1" w:styleId="RRATextHeading3">
    <w:name w:val="RRATextHeading3"/>
    <w:basedOn w:val="RRAHeading1"/>
    <w:rsid w:val="000772A5"/>
    <w:rPr>
      <w:rFonts w:ascii="Calibri" w:hAnsi="Calibri"/>
      <w:b w:val="0"/>
      <w:color w:val="828284"/>
      <w:sz w:val="18"/>
    </w:rPr>
  </w:style>
  <w:style w:type="paragraph" w:customStyle="1" w:styleId="RRATitleHeading">
    <w:name w:val="RRATitleHeading"/>
    <w:basedOn w:val="Heading1"/>
    <w:rsid w:val="00B50391"/>
    <w:rPr>
      <w:b/>
      <w:sz w:val="72"/>
    </w:rPr>
  </w:style>
  <w:style w:type="paragraph" w:customStyle="1" w:styleId="RRATitleHeading2">
    <w:name w:val="RRATitleHeading2"/>
    <w:basedOn w:val="RRATitleHeading"/>
    <w:rsid w:val="00547073"/>
    <w:rPr>
      <w:sz w:val="36"/>
      <w:szCs w:val="36"/>
    </w:rPr>
  </w:style>
  <w:style w:type="paragraph" w:customStyle="1" w:styleId="RRATitleHeading3">
    <w:name w:val="RRATitleHeading3"/>
    <w:basedOn w:val="RRATitleHeading"/>
    <w:rsid w:val="00547073"/>
    <w:pPr>
      <w:spacing w:after="120"/>
    </w:pPr>
    <w:rPr>
      <w:sz w:val="28"/>
      <w:szCs w:val="28"/>
    </w:rPr>
  </w:style>
  <w:style w:type="paragraph" w:customStyle="1" w:styleId="RRAAssignNo">
    <w:name w:val="RRAAssignNo"/>
    <w:basedOn w:val="RRATCDate"/>
    <w:rsid w:val="002F767C"/>
    <w:pPr>
      <w:spacing w:before="720" w:after="720" w:line="240" w:lineRule="auto"/>
    </w:pPr>
    <w:rPr>
      <w:b w:val="0"/>
      <w:color w:val="828284"/>
      <w:sz w:val="18"/>
      <w:szCs w:val="14"/>
    </w:rPr>
  </w:style>
  <w:style w:type="character" w:customStyle="1" w:styleId="RRAAddressChar">
    <w:name w:val="RRAAddress Char"/>
    <w:basedOn w:val="DefaultParagraphFont"/>
    <w:link w:val="RRAAddress"/>
    <w:rsid w:val="00547073"/>
    <w:rPr>
      <w:rFonts w:ascii="Times New Roman" w:eastAsia="MS PGothic" w:hAnsi="Times New Roman" w:cs="Times New Roman"/>
      <w:sz w:val="24"/>
      <w:szCs w:val="24"/>
      <w:lang w:val="en-GB"/>
    </w:rPr>
  </w:style>
  <w:style w:type="numbering" w:customStyle="1" w:styleId="newlist">
    <w:name w:val="newlist"/>
    <w:basedOn w:val="NoList"/>
    <w:rsid w:val="003E40B0"/>
    <w:pPr>
      <w:numPr>
        <w:numId w:val="1"/>
      </w:numPr>
    </w:pPr>
  </w:style>
  <w:style w:type="paragraph" w:customStyle="1" w:styleId="HiddenGeography1">
    <w:name w:val="HiddenGeography1"/>
    <w:autoRedefine/>
    <w:rsid w:val="00117857"/>
    <w:pPr>
      <w:ind w:left="1080"/>
    </w:pPr>
    <w:rPr>
      <w:rFonts w:ascii="Arial" w:eastAsia="MS PGothic" w:hAnsi="Arial" w:cs="Arial"/>
      <w:vanish/>
      <w:color w:val="FF0000"/>
      <w:sz w:val="36"/>
      <w:szCs w:val="36"/>
    </w:rPr>
  </w:style>
  <w:style w:type="table" w:customStyle="1" w:styleId="CBITable">
    <w:name w:val="CBI Table"/>
    <w:basedOn w:val="TableNormal"/>
    <w:rsid w:val="00547073"/>
    <w:rPr>
      <w:rFonts w:eastAsia="MS PGothic"/>
      <w:sz w:val="18"/>
      <w:szCs w:val="18"/>
    </w:rPr>
    <w:tblPr>
      <w:tblStyleRowBandSize w:val="1"/>
      <w:tblInd w:w="125" w:type="dxa"/>
      <w:tblBorders>
        <w:top w:val="single" w:sz="4" w:space="0" w:color="001E50"/>
        <w:left w:val="single" w:sz="4" w:space="0" w:color="001E50"/>
        <w:bottom w:val="single" w:sz="4" w:space="0" w:color="001E50"/>
        <w:right w:val="single" w:sz="4" w:space="0" w:color="001E50"/>
        <w:insideV w:val="single" w:sz="4" w:space="0" w:color="001E50"/>
      </w:tblBorders>
    </w:tblPr>
    <w:tcPr>
      <w:tcMar>
        <w:top w:w="57" w:type="dxa"/>
        <w:bottom w:w="57" w:type="dxa"/>
      </w:tcMar>
    </w:tcPr>
    <w:tblStylePr w:type="firstRow">
      <w:rPr>
        <w:rFonts w:ascii="Times New Roman" w:hAnsi="Times New Roman"/>
        <w:b/>
        <w:sz w:val="24"/>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C3D5E5"/>
      </w:tcPr>
    </w:tblStylePr>
    <w:tblStylePr w:type="band1Horz">
      <w:pPr>
        <w:jc w:val="left"/>
      </w:pPr>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Mar>
          <w:top w:w="108" w:type="dxa"/>
          <w:left w:w="0" w:type="nil"/>
          <w:bottom w:w="57" w:type="dxa"/>
          <w:right w:w="0" w:type="nil"/>
        </w:tcMar>
      </w:tcPr>
    </w:tblStylePr>
    <w:tblStylePr w:type="band2Horz">
      <w:tblPr/>
      <w:tcPr>
        <w:tcMar>
          <w:top w:w="108" w:type="dxa"/>
          <w:left w:w="0" w:type="nil"/>
          <w:bottom w:w="57" w:type="dxa"/>
          <w:right w:w="0" w:type="nil"/>
        </w:tcMar>
      </w:tcPr>
    </w:tblStylePr>
  </w:style>
  <w:style w:type="paragraph" w:customStyle="1" w:styleId="CBIHeading">
    <w:name w:val="CBIHeading"/>
    <w:basedOn w:val="Normal"/>
    <w:rsid w:val="00E30270"/>
    <w:pPr>
      <w:overflowPunct w:val="0"/>
      <w:autoSpaceDE w:val="0"/>
      <w:autoSpaceDN w:val="0"/>
      <w:adjustRightInd w:val="0"/>
      <w:textAlignment w:val="baseline"/>
    </w:pPr>
    <w:rPr>
      <w:rFonts w:eastAsia="MS PGothic"/>
      <w:b/>
      <w:bCs/>
    </w:rPr>
  </w:style>
  <w:style w:type="table" w:customStyle="1" w:styleId="CBIKeyTable">
    <w:name w:val="CBIKeyTable"/>
    <w:basedOn w:val="CBITable"/>
    <w:rsid w:val="00547073"/>
    <w:tblPr/>
    <w:tcPr>
      <w:vAlign w:val="bottom"/>
    </w:tcPr>
    <w:tblStylePr w:type="firstRow">
      <w:rPr>
        <w:rFonts w:ascii="Times New Roman" w:hAnsi="Times New Roman"/>
        <w:b/>
        <w:sz w:val="24"/>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C3D5E5"/>
      </w:tcPr>
    </w:tblStylePr>
    <w:tblStylePr w:type="band1Horz">
      <w:pPr>
        <w:jc w:val="left"/>
      </w:pPr>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Mar>
          <w:top w:w="108" w:type="dxa"/>
          <w:left w:w="0" w:type="nil"/>
          <w:bottom w:w="0" w:type="nil"/>
          <w:right w:w="0" w:type="nil"/>
        </w:tcMar>
      </w:tcPr>
    </w:tblStylePr>
    <w:tblStylePr w:type="band2Horz">
      <w:tblPr/>
      <w:tcPr>
        <w:tcMar>
          <w:top w:w="108" w:type="dxa"/>
          <w:left w:w="0" w:type="nil"/>
          <w:bottom w:w="0" w:type="nil"/>
          <w:right w:w="0" w:type="nil"/>
        </w:tcMar>
      </w:tcPr>
    </w:tblStylePr>
  </w:style>
  <w:style w:type="paragraph" w:customStyle="1" w:styleId="RRASmall">
    <w:name w:val="RRASmall"/>
    <w:basedOn w:val="RRAAssignNo"/>
    <w:locked/>
    <w:rsid w:val="00547073"/>
    <w:pPr>
      <w:spacing w:before="0" w:after="0"/>
    </w:pPr>
    <w:rPr>
      <w:b/>
      <w:vanish/>
      <w:color w:val="FF0000"/>
      <w:sz w:val="10"/>
    </w:rPr>
  </w:style>
  <w:style w:type="paragraph" w:customStyle="1" w:styleId="RRATextCBITable">
    <w:name w:val="RRATextCBITable"/>
    <w:basedOn w:val="Normal"/>
    <w:rsid w:val="00E30270"/>
    <w:pPr>
      <w:overflowPunct w:val="0"/>
      <w:autoSpaceDE w:val="0"/>
      <w:autoSpaceDN w:val="0"/>
      <w:adjustRightInd w:val="0"/>
      <w:textAlignment w:val="baseline"/>
    </w:pPr>
    <w:rPr>
      <w:rFonts w:eastAsia="MS PGothic"/>
      <w:sz w:val="18"/>
      <w:szCs w:val="18"/>
    </w:rPr>
  </w:style>
  <w:style w:type="character" w:customStyle="1" w:styleId="Heading1Char">
    <w:name w:val="Heading 1 Char"/>
    <w:basedOn w:val="DefaultParagraphFont"/>
    <w:link w:val="Heading1"/>
    <w:uiPriority w:val="9"/>
    <w:rsid w:val="006A21DA"/>
    <w:rPr>
      <w:rFonts w:asciiTheme="majorHAnsi" w:eastAsiaTheme="minorHAnsi" w:hAnsiTheme="majorHAnsi" w:cs="Arial"/>
      <w:bCs/>
      <w:sz w:val="80"/>
      <w:szCs w:val="80"/>
      <w:lang w:val="en-GB"/>
    </w:rPr>
  </w:style>
  <w:style w:type="numbering" w:styleId="111111">
    <w:name w:val="Outline List 2"/>
    <w:basedOn w:val="NoList"/>
    <w:rsid w:val="000B7E73"/>
    <w:pPr>
      <w:numPr>
        <w:numId w:val="2"/>
      </w:numPr>
    </w:pPr>
  </w:style>
  <w:style w:type="numbering" w:styleId="1ai">
    <w:name w:val="Outline List 1"/>
    <w:basedOn w:val="NoList"/>
    <w:rsid w:val="000B7E73"/>
    <w:pPr>
      <w:numPr>
        <w:numId w:val="3"/>
      </w:numPr>
    </w:pPr>
  </w:style>
  <w:style w:type="character" w:customStyle="1" w:styleId="Heading2Char">
    <w:name w:val="Heading 2 Char"/>
    <w:basedOn w:val="DefaultParagraphFont"/>
    <w:link w:val="Heading2"/>
    <w:uiPriority w:val="9"/>
    <w:rsid w:val="00A726DE"/>
    <w:rPr>
      <w:rFonts w:eastAsiaTheme="minorHAnsi" w:cstheme="minorHAnsi"/>
      <w:b/>
      <w:bCs/>
      <w:iCs/>
      <w:color w:val="4A0080" w:themeColor="accent2"/>
      <w:sz w:val="28"/>
      <w:szCs w:val="28"/>
      <w:lang w:val="en-GB"/>
    </w:rPr>
  </w:style>
  <w:style w:type="character" w:customStyle="1" w:styleId="Heading3Char">
    <w:name w:val="Heading 3 Char"/>
    <w:basedOn w:val="DefaultParagraphFont"/>
    <w:link w:val="Heading3"/>
    <w:uiPriority w:val="9"/>
    <w:rsid w:val="006A21DA"/>
    <w:rPr>
      <w:bCs/>
      <w:color w:val="4A0080" w:themeColor="accent2"/>
      <w:sz w:val="34"/>
      <w:szCs w:val="34"/>
      <w:lang w:val="en-GB"/>
    </w:rPr>
  </w:style>
  <w:style w:type="character" w:customStyle="1" w:styleId="Heading4Char">
    <w:name w:val="Heading 4 Char"/>
    <w:basedOn w:val="DefaultParagraphFont"/>
    <w:link w:val="Heading4"/>
    <w:uiPriority w:val="9"/>
    <w:semiHidden/>
    <w:rsid w:val="004F56A7"/>
    <w:rPr>
      <w:rFonts w:asciiTheme="majorHAnsi" w:eastAsiaTheme="minorHAnsi" w:hAnsiTheme="majorHAnsi" w:cs="Arial"/>
      <w:b/>
      <w:bCs/>
      <w:i/>
      <w:color w:val="002E5D"/>
      <w:sz w:val="22"/>
      <w:szCs w:val="28"/>
      <w:lang w:val="en-GB"/>
    </w:rPr>
  </w:style>
  <w:style w:type="character" w:customStyle="1" w:styleId="Heading5Char">
    <w:name w:val="Heading 5 Char"/>
    <w:basedOn w:val="DefaultParagraphFont"/>
    <w:link w:val="Heading5"/>
    <w:semiHidden/>
    <w:rsid w:val="000B7E73"/>
    <w:rPr>
      <w:rFonts w:asciiTheme="majorHAnsi" w:eastAsiaTheme="majorEastAsia" w:hAnsiTheme="majorHAnsi" w:cstheme="majorBidi"/>
      <w:color w:val="05175A" w:themeColor="accent1" w:themeShade="7F"/>
      <w:lang w:val="en-GB"/>
    </w:rPr>
  </w:style>
  <w:style w:type="character" w:customStyle="1" w:styleId="Heading6Char">
    <w:name w:val="Heading 6 Char"/>
    <w:basedOn w:val="DefaultParagraphFont"/>
    <w:link w:val="Heading6"/>
    <w:semiHidden/>
    <w:rsid w:val="000B7E73"/>
    <w:rPr>
      <w:rFonts w:asciiTheme="majorHAnsi" w:eastAsiaTheme="majorEastAsia" w:hAnsiTheme="majorHAnsi" w:cstheme="majorBidi"/>
      <w:i/>
      <w:iCs/>
      <w:color w:val="05175A" w:themeColor="accent1" w:themeShade="7F"/>
      <w:lang w:val="en-GB"/>
    </w:rPr>
  </w:style>
  <w:style w:type="character" w:customStyle="1" w:styleId="Heading7Char">
    <w:name w:val="Heading 7 Char"/>
    <w:basedOn w:val="DefaultParagraphFont"/>
    <w:link w:val="Heading7"/>
    <w:semiHidden/>
    <w:rsid w:val="000B7E73"/>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semiHidden/>
    <w:rsid w:val="000B7E73"/>
    <w:rPr>
      <w:rFonts w:asciiTheme="majorHAnsi" w:eastAsiaTheme="majorEastAsia" w:hAnsiTheme="majorHAnsi" w:cstheme="majorBidi"/>
      <w:color w:val="404040" w:themeColor="text1" w:themeTint="BF"/>
      <w:lang w:val="en-GB"/>
    </w:rPr>
  </w:style>
  <w:style w:type="character" w:customStyle="1" w:styleId="Heading9Char">
    <w:name w:val="Heading 9 Char"/>
    <w:basedOn w:val="DefaultParagraphFont"/>
    <w:link w:val="Heading9"/>
    <w:semiHidden/>
    <w:rsid w:val="000B7E73"/>
    <w:rPr>
      <w:rFonts w:asciiTheme="majorHAnsi" w:eastAsiaTheme="majorEastAsia" w:hAnsiTheme="majorHAnsi" w:cstheme="majorBidi"/>
      <w:i/>
      <w:iCs/>
      <w:color w:val="404040" w:themeColor="text1" w:themeTint="BF"/>
      <w:lang w:val="en-GB"/>
    </w:rPr>
  </w:style>
  <w:style w:type="numbering" w:styleId="ArticleSection">
    <w:name w:val="Outline List 3"/>
    <w:basedOn w:val="NoList"/>
    <w:rsid w:val="000B7E73"/>
    <w:pPr>
      <w:numPr>
        <w:numId w:val="4"/>
      </w:numPr>
    </w:pPr>
  </w:style>
  <w:style w:type="paragraph" w:styleId="BalloonText">
    <w:name w:val="Balloon Text"/>
    <w:basedOn w:val="Normal"/>
    <w:link w:val="BalloonTextChar"/>
    <w:rsid w:val="000B7E73"/>
    <w:rPr>
      <w:rFonts w:ascii="Tahoma" w:hAnsi="Tahoma" w:cs="Tahoma"/>
      <w:sz w:val="16"/>
      <w:szCs w:val="16"/>
    </w:rPr>
  </w:style>
  <w:style w:type="character" w:customStyle="1" w:styleId="BalloonTextChar">
    <w:name w:val="Balloon Text Char"/>
    <w:basedOn w:val="DefaultParagraphFont"/>
    <w:link w:val="BalloonText"/>
    <w:rsid w:val="000B7E73"/>
    <w:rPr>
      <w:rFonts w:ascii="Tahoma" w:hAnsi="Tahoma" w:cs="Tahoma"/>
      <w:sz w:val="16"/>
      <w:szCs w:val="16"/>
      <w:lang w:val="en-GB"/>
    </w:rPr>
  </w:style>
  <w:style w:type="paragraph" w:styleId="Bibliography">
    <w:name w:val="Bibliography"/>
    <w:basedOn w:val="Normal"/>
    <w:next w:val="Normal"/>
    <w:uiPriority w:val="37"/>
    <w:semiHidden/>
    <w:unhideWhenUsed/>
    <w:rsid w:val="000B7E73"/>
  </w:style>
  <w:style w:type="paragraph" w:styleId="BlockText">
    <w:name w:val="Block Text"/>
    <w:basedOn w:val="Normal"/>
    <w:rsid w:val="000B7E73"/>
    <w:pPr>
      <w:pBdr>
        <w:top w:val="single" w:sz="2" w:space="10" w:color="0A2FB5" w:themeColor="accent1" w:shadow="1"/>
        <w:left w:val="single" w:sz="2" w:space="10" w:color="0A2FB5" w:themeColor="accent1" w:shadow="1"/>
        <w:bottom w:val="single" w:sz="2" w:space="10" w:color="0A2FB5" w:themeColor="accent1" w:shadow="1"/>
        <w:right w:val="single" w:sz="2" w:space="10" w:color="0A2FB5" w:themeColor="accent1" w:shadow="1"/>
      </w:pBdr>
      <w:ind w:left="1152" w:right="1152"/>
    </w:pPr>
    <w:rPr>
      <w:rFonts w:eastAsiaTheme="minorEastAsia" w:cstheme="minorBidi"/>
      <w:i/>
      <w:iCs/>
      <w:color w:val="0A2FB5" w:themeColor="accent1"/>
    </w:rPr>
  </w:style>
  <w:style w:type="paragraph" w:styleId="BodyText">
    <w:name w:val="Body Text"/>
    <w:basedOn w:val="Normal"/>
    <w:link w:val="BodyTextChar"/>
    <w:uiPriority w:val="11"/>
    <w:qFormat/>
    <w:rsid w:val="003437E4"/>
    <w:pPr>
      <w:spacing w:after="120"/>
      <w:contextualSpacing/>
    </w:pPr>
    <w:rPr>
      <w:szCs w:val="8"/>
    </w:rPr>
  </w:style>
  <w:style w:type="character" w:customStyle="1" w:styleId="BodyTextChar">
    <w:name w:val="Body Text Char"/>
    <w:basedOn w:val="DefaultParagraphFont"/>
    <w:link w:val="BodyText"/>
    <w:uiPriority w:val="11"/>
    <w:rsid w:val="003437E4"/>
    <w:rPr>
      <w:rFonts w:ascii="Calibri" w:eastAsia="Arial" w:hAnsi="Calibri" w:cs="Arial"/>
      <w:color w:val="002E5D"/>
      <w:sz w:val="22"/>
      <w:szCs w:val="8"/>
      <w:lang w:val="en-GB"/>
    </w:rPr>
  </w:style>
  <w:style w:type="paragraph" w:styleId="BodyText2">
    <w:name w:val="Body Text 2"/>
    <w:basedOn w:val="Normal"/>
    <w:link w:val="BodyText2Char"/>
    <w:rsid w:val="000B7E73"/>
    <w:pPr>
      <w:spacing w:after="120" w:line="480" w:lineRule="auto"/>
    </w:pPr>
  </w:style>
  <w:style w:type="character" w:customStyle="1" w:styleId="BodyText2Char">
    <w:name w:val="Body Text 2 Char"/>
    <w:basedOn w:val="DefaultParagraphFont"/>
    <w:link w:val="BodyText2"/>
    <w:rsid w:val="000B7E73"/>
    <w:rPr>
      <w:sz w:val="24"/>
      <w:szCs w:val="24"/>
      <w:lang w:val="en-GB"/>
    </w:rPr>
  </w:style>
  <w:style w:type="paragraph" w:styleId="BodyText3">
    <w:name w:val="Body Text 3"/>
    <w:basedOn w:val="Normal"/>
    <w:link w:val="BodyText3Char"/>
    <w:rsid w:val="000B7E73"/>
    <w:pPr>
      <w:spacing w:after="120"/>
    </w:pPr>
    <w:rPr>
      <w:sz w:val="16"/>
      <w:szCs w:val="16"/>
    </w:rPr>
  </w:style>
  <w:style w:type="character" w:customStyle="1" w:styleId="BodyText3Char">
    <w:name w:val="Body Text 3 Char"/>
    <w:basedOn w:val="DefaultParagraphFont"/>
    <w:link w:val="BodyText3"/>
    <w:rsid w:val="000B7E73"/>
    <w:rPr>
      <w:sz w:val="16"/>
      <w:szCs w:val="16"/>
      <w:lang w:val="en-GB"/>
    </w:rPr>
  </w:style>
  <w:style w:type="paragraph" w:styleId="BodyTextFirstIndent">
    <w:name w:val="Body Text First Indent"/>
    <w:basedOn w:val="BodyText"/>
    <w:link w:val="BodyTextFirstIndentChar"/>
    <w:rsid w:val="000B7E73"/>
    <w:pPr>
      <w:spacing w:after="0"/>
      <w:ind w:firstLine="360"/>
    </w:pPr>
  </w:style>
  <w:style w:type="character" w:customStyle="1" w:styleId="BodyTextFirstIndentChar">
    <w:name w:val="Body Text First Indent Char"/>
    <w:basedOn w:val="BodyTextChar"/>
    <w:link w:val="BodyTextFirstIndent"/>
    <w:rsid w:val="000B7E73"/>
    <w:rPr>
      <w:rFonts w:ascii="Calibri" w:eastAsiaTheme="minorHAnsi" w:hAnsi="Calibri" w:cs="Arial"/>
      <w:b w:val="0"/>
      <w:color w:val="002E5D"/>
      <w:sz w:val="24"/>
      <w:szCs w:val="24"/>
      <w:lang w:val="en-GB"/>
    </w:rPr>
  </w:style>
  <w:style w:type="paragraph" w:styleId="BodyTextIndent">
    <w:name w:val="Body Text Indent"/>
    <w:basedOn w:val="Normal"/>
    <w:link w:val="BodyTextIndentChar"/>
    <w:rsid w:val="000B7E73"/>
    <w:pPr>
      <w:spacing w:after="120"/>
      <w:ind w:left="360"/>
    </w:pPr>
  </w:style>
  <w:style w:type="character" w:customStyle="1" w:styleId="BodyTextIndentChar">
    <w:name w:val="Body Text Indent Char"/>
    <w:basedOn w:val="DefaultParagraphFont"/>
    <w:link w:val="BodyTextIndent"/>
    <w:rsid w:val="000B7E73"/>
    <w:rPr>
      <w:sz w:val="24"/>
      <w:szCs w:val="24"/>
      <w:lang w:val="en-GB"/>
    </w:rPr>
  </w:style>
  <w:style w:type="paragraph" w:styleId="BodyTextFirstIndent2">
    <w:name w:val="Body Text First Indent 2"/>
    <w:basedOn w:val="BodyTextIndent"/>
    <w:link w:val="BodyTextFirstIndent2Char"/>
    <w:rsid w:val="000B7E73"/>
    <w:pPr>
      <w:spacing w:after="0"/>
      <w:ind w:firstLine="360"/>
    </w:pPr>
  </w:style>
  <w:style w:type="character" w:customStyle="1" w:styleId="BodyTextFirstIndent2Char">
    <w:name w:val="Body Text First Indent 2 Char"/>
    <w:basedOn w:val="BodyTextIndentChar"/>
    <w:link w:val="BodyTextFirstIndent2"/>
    <w:rsid w:val="000B7E73"/>
    <w:rPr>
      <w:sz w:val="24"/>
      <w:szCs w:val="24"/>
      <w:lang w:val="en-GB"/>
    </w:rPr>
  </w:style>
  <w:style w:type="paragraph" w:styleId="BodyTextIndent2">
    <w:name w:val="Body Text Indent 2"/>
    <w:basedOn w:val="Normal"/>
    <w:link w:val="BodyTextIndent2Char"/>
    <w:rsid w:val="000B7E73"/>
    <w:pPr>
      <w:spacing w:after="120" w:line="480" w:lineRule="auto"/>
      <w:ind w:left="360"/>
    </w:pPr>
  </w:style>
  <w:style w:type="character" w:customStyle="1" w:styleId="BodyTextIndent2Char">
    <w:name w:val="Body Text Indent 2 Char"/>
    <w:basedOn w:val="DefaultParagraphFont"/>
    <w:link w:val="BodyTextIndent2"/>
    <w:rsid w:val="000B7E73"/>
    <w:rPr>
      <w:sz w:val="24"/>
      <w:szCs w:val="24"/>
      <w:lang w:val="en-GB"/>
    </w:rPr>
  </w:style>
  <w:style w:type="paragraph" w:styleId="BodyTextIndent3">
    <w:name w:val="Body Text Indent 3"/>
    <w:basedOn w:val="Normal"/>
    <w:link w:val="BodyTextIndent3Char"/>
    <w:rsid w:val="000B7E73"/>
    <w:pPr>
      <w:spacing w:after="120"/>
      <w:ind w:left="360"/>
    </w:pPr>
    <w:rPr>
      <w:sz w:val="16"/>
      <w:szCs w:val="16"/>
    </w:rPr>
  </w:style>
  <w:style w:type="character" w:customStyle="1" w:styleId="BodyTextIndent3Char">
    <w:name w:val="Body Text Indent 3 Char"/>
    <w:basedOn w:val="DefaultParagraphFont"/>
    <w:link w:val="BodyTextIndent3"/>
    <w:rsid w:val="000B7E73"/>
    <w:rPr>
      <w:sz w:val="16"/>
      <w:szCs w:val="16"/>
      <w:lang w:val="en-GB"/>
    </w:rPr>
  </w:style>
  <w:style w:type="character" w:styleId="BookTitle">
    <w:name w:val="Book Title"/>
    <w:basedOn w:val="DefaultParagraphFont"/>
    <w:uiPriority w:val="33"/>
    <w:rsid w:val="000B7E73"/>
    <w:rPr>
      <w:b/>
      <w:bCs/>
      <w:smallCaps/>
      <w:spacing w:val="5"/>
      <w:lang w:val="en-GB"/>
    </w:rPr>
  </w:style>
  <w:style w:type="paragraph" w:styleId="Caption">
    <w:name w:val="caption"/>
    <w:basedOn w:val="Normal"/>
    <w:next w:val="Normal"/>
    <w:semiHidden/>
    <w:unhideWhenUsed/>
    <w:rsid w:val="000B7E73"/>
    <w:pPr>
      <w:spacing w:after="200"/>
    </w:pPr>
    <w:rPr>
      <w:b/>
      <w:bCs/>
      <w:color w:val="0A2FB5" w:themeColor="accent1"/>
      <w:sz w:val="18"/>
      <w:szCs w:val="18"/>
    </w:rPr>
  </w:style>
  <w:style w:type="paragraph" w:styleId="Closing">
    <w:name w:val="Closing"/>
    <w:basedOn w:val="Normal"/>
    <w:link w:val="ClosingChar"/>
    <w:rsid w:val="000B7E73"/>
    <w:pPr>
      <w:ind w:left="4320"/>
    </w:pPr>
  </w:style>
  <w:style w:type="character" w:customStyle="1" w:styleId="ClosingChar">
    <w:name w:val="Closing Char"/>
    <w:basedOn w:val="DefaultParagraphFont"/>
    <w:link w:val="Closing"/>
    <w:rsid w:val="000B7E73"/>
    <w:rPr>
      <w:sz w:val="24"/>
      <w:szCs w:val="24"/>
      <w:lang w:val="en-GB"/>
    </w:rPr>
  </w:style>
  <w:style w:type="table" w:customStyle="1" w:styleId="ColorfulGrid1">
    <w:name w:val="Colorful Grid1"/>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C2CEFB" w:themeFill="accent1" w:themeFillTint="33"/>
    </w:tcPr>
    <w:tblStylePr w:type="firstRow">
      <w:rPr>
        <w:b/>
        <w:bCs/>
      </w:rPr>
      <w:tblPr/>
      <w:tcPr>
        <w:shd w:val="clear" w:color="auto" w:fill="869EF8" w:themeFill="accent1" w:themeFillTint="66"/>
      </w:tcPr>
    </w:tblStylePr>
    <w:tblStylePr w:type="lastRow">
      <w:rPr>
        <w:b/>
        <w:bCs/>
        <w:color w:val="000000" w:themeColor="text1"/>
      </w:rPr>
      <w:tblPr/>
      <w:tcPr>
        <w:shd w:val="clear" w:color="auto" w:fill="869EF8" w:themeFill="accent1" w:themeFillTint="66"/>
      </w:tcPr>
    </w:tblStylePr>
    <w:tblStylePr w:type="firstCol">
      <w:rPr>
        <w:color w:val="FFFFFF" w:themeColor="background1"/>
      </w:rPr>
      <w:tblPr/>
      <w:tcPr>
        <w:shd w:val="clear" w:color="auto" w:fill="072387" w:themeFill="accent1" w:themeFillShade="BF"/>
      </w:tcPr>
    </w:tblStylePr>
    <w:tblStylePr w:type="lastCol">
      <w:rPr>
        <w:color w:val="FFFFFF" w:themeColor="background1"/>
      </w:rPr>
      <w:tblPr/>
      <w:tcPr>
        <w:shd w:val="clear" w:color="auto" w:fill="072387" w:themeFill="accent1" w:themeFillShade="BF"/>
      </w:tcPr>
    </w:tblStylePr>
    <w:tblStylePr w:type="band1Vert">
      <w:tblPr/>
      <w:tcPr>
        <w:shd w:val="clear" w:color="auto" w:fill="6887F6" w:themeFill="accent1" w:themeFillTint="7F"/>
      </w:tcPr>
    </w:tblStylePr>
    <w:tblStylePr w:type="band1Horz">
      <w:tblPr/>
      <w:tcPr>
        <w:shd w:val="clear" w:color="auto" w:fill="6887F6" w:themeFill="accent1" w:themeFillTint="7F"/>
      </w:tcPr>
    </w:tblStylePr>
  </w:style>
  <w:style w:type="table" w:styleId="ColorfulGrid-Accent2">
    <w:name w:val="Colorful Grid Accent 2"/>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DEB2FF" w:themeFill="accent2" w:themeFillTint="33"/>
    </w:tcPr>
    <w:tblStylePr w:type="firstRow">
      <w:rPr>
        <w:b/>
        <w:bCs/>
      </w:rPr>
      <w:tblPr/>
      <w:tcPr>
        <w:shd w:val="clear" w:color="auto" w:fill="BE66FF" w:themeFill="accent2" w:themeFillTint="66"/>
      </w:tcPr>
    </w:tblStylePr>
    <w:tblStylePr w:type="lastRow">
      <w:rPr>
        <w:b/>
        <w:bCs/>
        <w:color w:val="000000" w:themeColor="text1"/>
      </w:rPr>
      <w:tblPr/>
      <w:tcPr>
        <w:shd w:val="clear" w:color="auto" w:fill="BE66FF" w:themeFill="accent2" w:themeFillTint="66"/>
      </w:tcPr>
    </w:tblStylePr>
    <w:tblStylePr w:type="firstCol">
      <w:rPr>
        <w:color w:val="FFFFFF" w:themeColor="background1"/>
      </w:rPr>
      <w:tblPr/>
      <w:tcPr>
        <w:shd w:val="clear" w:color="auto" w:fill="37005F" w:themeFill="accent2" w:themeFillShade="BF"/>
      </w:tcPr>
    </w:tblStylePr>
    <w:tblStylePr w:type="lastCol">
      <w:rPr>
        <w:color w:val="FFFFFF" w:themeColor="background1"/>
      </w:rPr>
      <w:tblPr/>
      <w:tcPr>
        <w:shd w:val="clear" w:color="auto" w:fill="37005F" w:themeFill="accent2" w:themeFillShade="BF"/>
      </w:tcPr>
    </w:tblStylePr>
    <w:tblStylePr w:type="band1Vert">
      <w:tblPr/>
      <w:tcPr>
        <w:shd w:val="clear" w:color="auto" w:fill="AE40FF" w:themeFill="accent2" w:themeFillTint="7F"/>
      </w:tcPr>
    </w:tblStylePr>
    <w:tblStylePr w:type="band1Horz">
      <w:tblPr/>
      <w:tcPr>
        <w:shd w:val="clear" w:color="auto" w:fill="AE40FF" w:themeFill="accent2" w:themeFillTint="7F"/>
      </w:tcPr>
    </w:tblStylePr>
  </w:style>
  <w:style w:type="table" w:styleId="ColorfulGrid-Accent3">
    <w:name w:val="Colorful Grid Accent 3"/>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C1EDF8" w:themeFill="accent3" w:themeFillTint="33"/>
    </w:tcPr>
    <w:tblStylePr w:type="firstRow">
      <w:rPr>
        <w:b/>
        <w:bCs/>
      </w:rPr>
      <w:tblPr/>
      <w:tcPr>
        <w:shd w:val="clear" w:color="auto" w:fill="83DBF1" w:themeFill="accent3" w:themeFillTint="66"/>
      </w:tcPr>
    </w:tblStylePr>
    <w:tblStylePr w:type="lastRow">
      <w:rPr>
        <w:b/>
        <w:bCs/>
        <w:color w:val="000000" w:themeColor="text1"/>
      </w:rPr>
      <w:tblPr/>
      <w:tcPr>
        <w:shd w:val="clear" w:color="auto" w:fill="83DBF1" w:themeFill="accent3" w:themeFillTint="66"/>
      </w:tcPr>
    </w:tblStylePr>
    <w:tblStylePr w:type="firstCol">
      <w:rPr>
        <w:color w:val="FFFFFF" w:themeColor="background1"/>
      </w:rPr>
      <w:tblPr/>
      <w:tcPr>
        <w:shd w:val="clear" w:color="auto" w:fill="0C5C70" w:themeFill="accent3" w:themeFillShade="BF"/>
      </w:tcPr>
    </w:tblStylePr>
    <w:tblStylePr w:type="lastCol">
      <w:rPr>
        <w:color w:val="FFFFFF" w:themeColor="background1"/>
      </w:rPr>
      <w:tblPr/>
      <w:tcPr>
        <w:shd w:val="clear" w:color="auto" w:fill="0C5C70" w:themeFill="accent3" w:themeFillShade="BF"/>
      </w:tcPr>
    </w:tblStylePr>
    <w:tblStylePr w:type="band1Vert">
      <w:tblPr/>
      <w:tcPr>
        <w:shd w:val="clear" w:color="auto" w:fill="65D2ED" w:themeFill="accent3" w:themeFillTint="7F"/>
      </w:tcPr>
    </w:tblStylePr>
    <w:tblStylePr w:type="band1Horz">
      <w:tblPr/>
      <w:tcPr>
        <w:shd w:val="clear" w:color="auto" w:fill="65D2ED" w:themeFill="accent3" w:themeFillTint="7F"/>
      </w:tcPr>
    </w:tblStylePr>
  </w:style>
  <w:style w:type="table" w:styleId="ColorfulGrid-Accent4">
    <w:name w:val="Colorful Grid Accent 4"/>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FABFD7" w:themeFill="accent4" w:themeFillTint="33"/>
    </w:tcPr>
    <w:tblStylePr w:type="firstRow">
      <w:rPr>
        <w:b/>
        <w:bCs/>
      </w:rPr>
      <w:tblPr/>
      <w:tcPr>
        <w:shd w:val="clear" w:color="auto" w:fill="F57FB0" w:themeFill="accent4" w:themeFillTint="66"/>
      </w:tcPr>
    </w:tblStylePr>
    <w:tblStylePr w:type="lastRow">
      <w:rPr>
        <w:b/>
        <w:bCs/>
        <w:color w:val="000000" w:themeColor="text1"/>
      </w:rPr>
      <w:tblPr/>
      <w:tcPr>
        <w:shd w:val="clear" w:color="auto" w:fill="F57FB0" w:themeFill="accent4" w:themeFillTint="66"/>
      </w:tcPr>
    </w:tblStylePr>
    <w:tblStylePr w:type="firstCol">
      <w:rPr>
        <w:color w:val="FFFFFF" w:themeColor="background1"/>
      </w:rPr>
      <w:tblPr/>
      <w:tcPr>
        <w:shd w:val="clear" w:color="auto" w:fill="720934" w:themeFill="accent4" w:themeFillShade="BF"/>
      </w:tcPr>
    </w:tblStylePr>
    <w:tblStylePr w:type="lastCol">
      <w:rPr>
        <w:color w:val="FFFFFF" w:themeColor="background1"/>
      </w:rPr>
      <w:tblPr/>
      <w:tcPr>
        <w:shd w:val="clear" w:color="auto" w:fill="720934" w:themeFill="accent4" w:themeFillShade="BF"/>
      </w:tcPr>
    </w:tblStylePr>
    <w:tblStylePr w:type="band1Vert">
      <w:tblPr/>
      <w:tcPr>
        <w:shd w:val="clear" w:color="auto" w:fill="F25F9C" w:themeFill="accent4" w:themeFillTint="7F"/>
      </w:tcPr>
    </w:tblStylePr>
    <w:tblStylePr w:type="band1Horz">
      <w:tblPr/>
      <w:tcPr>
        <w:shd w:val="clear" w:color="auto" w:fill="F25F9C" w:themeFill="accent4" w:themeFillTint="7F"/>
      </w:tcPr>
    </w:tblStylePr>
  </w:style>
  <w:style w:type="table" w:styleId="ColorfulGrid-Accent5">
    <w:name w:val="Colorful Grid Accent 5"/>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E9E9E9" w:themeFill="accent5" w:themeFillTint="33"/>
    </w:tcPr>
    <w:tblStylePr w:type="firstRow">
      <w:rPr>
        <w:b/>
        <w:bCs/>
      </w:rPr>
      <w:tblPr/>
      <w:tcPr>
        <w:shd w:val="clear" w:color="auto" w:fill="D4D3D3" w:themeFill="accent5" w:themeFillTint="66"/>
      </w:tcPr>
    </w:tblStylePr>
    <w:tblStylePr w:type="lastRow">
      <w:rPr>
        <w:b/>
        <w:bCs/>
        <w:color w:val="000000" w:themeColor="text1"/>
      </w:rPr>
      <w:tblPr/>
      <w:tcPr>
        <w:shd w:val="clear" w:color="auto" w:fill="D4D3D3" w:themeFill="accent5" w:themeFillTint="66"/>
      </w:tcPr>
    </w:tblStylePr>
    <w:tblStylePr w:type="firstCol">
      <w:rPr>
        <w:color w:val="FFFFFF" w:themeColor="background1"/>
      </w:rPr>
      <w:tblPr/>
      <w:tcPr>
        <w:shd w:val="clear" w:color="auto" w:fill="6F6D6C" w:themeFill="accent5" w:themeFillShade="BF"/>
      </w:tcPr>
    </w:tblStylePr>
    <w:tblStylePr w:type="lastCol">
      <w:rPr>
        <w:color w:val="FFFFFF" w:themeColor="background1"/>
      </w:rPr>
      <w:tblPr/>
      <w:tcPr>
        <w:shd w:val="clear" w:color="auto" w:fill="6F6D6C" w:themeFill="accent5" w:themeFillShade="BF"/>
      </w:tcPr>
    </w:tblStylePr>
    <w:tblStylePr w:type="band1Vert">
      <w:tblPr/>
      <w:tcPr>
        <w:shd w:val="clear" w:color="auto" w:fill="CAC9C8" w:themeFill="accent5" w:themeFillTint="7F"/>
      </w:tcPr>
    </w:tblStylePr>
    <w:tblStylePr w:type="band1Horz">
      <w:tblPr/>
      <w:tcPr>
        <w:shd w:val="clear" w:color="auto" w:fill="CAC9C8" w:themeFill="accent5" w:themeFillTint="7F"/>
      </w:tcPr>
    </w:tblStylePr>
  </w:style>
  <w:style w:type="table" w:styleId="ColorfulGrid-Accent6">
    <w:name w:val="Colorful Grid Accent 6"/>
    <w:basedOn w:val="TableNormal"/>
    <w:uiPriority w:val="73"/>
    <w:rsid w:val="000B7E73"/>
    <w:rPr>
      <w:color w:val="000000" w:themeColor="text1"/>
    </w:rPr>
    <w:tblPr>
      <w:tblStyleRowBandSize w:val="1"/>
      <w:tblStyleColBandSize w:val="1"/>
      <w:tblBorders>
        <w:insideH w:val="single" w:sz="4" w:space="0" w:color="FFFFFF" w:themeColor="background1"/>
      </w:tblBorders>
    </w:tblPr>
    <w:tcPr>
      <w:shd w:val="clear" w:color="auto" w:fill="DDDCDC" w:themeFill="accent6" w:themeFillTint="33"/>
    </w:tcPr>
    <w:tblStylePr w:type="firstRow">
      <w:rPr>
        <w:b/>
        <w:bCs/>
      </w:rPr>
      <w:tblPr/>
      <w:tcPr>
        <w:shd w:val="clear" w:color="auto" w:fill="BCBABA" w:themeFill="accent6" w:themeFillTint="66"/>
      </w:tcPr>
    </w:tblStylePr>
    <w:tblStylePr w:type="lastRow">
      <w:rPr>
        <w:b/>
        <w:bCs/>
        <w:color w:val="000000" w:themeColor="text1"/>
      </w:rPr>
      <w:tblPr/>
      <w:tcPr>
        <w:shd w:val="clear" w:color="auto" w:fill="BCBABA" w:themeFill="accent6" w:themeFillTint="66"/>
      </w:tcPr>
    </w:tblStylePr>
    <w:tblStylePr w:type="firstCol">
      <w:rPr>
        <w:color w:val="FFFFFF" w:themeColor="background1"/>
      </w:rPr>
      <w:tblPr/>
      <w:tcPr>
        <w:shd w:val="clear" w:color="auto" w:fill="414040" w:themeFill="accent6" w:themeFillShade="BF"/>
      </w:tcPr>
    </w:tblStylePr>
    <w:tblStylePr w:type="lastCol">
      <w:rPr>
        <w:color w:val="FFFFFF" w:themeColor="background1"/>
      </w:rPr>
      <w:tblPr/>
      <w:tcPr>
        <w:shd w:val="clear" w:color="auto" w:fill="414040" w:themeFill="accent6" w:themeFillShade="BF"/>
      </w:tcPr>
    </w:tblStylePr>
    <w:tblStylePr w:type="band1Vert">
      <w:tblPr/>
      <w:tcPr>
        <w:shd w:val="clear" w:color="auto" w:fill="ACAAAA" w:themeFill="accent6" w:themeFillTint="7F"/>
      </w:tcPr>
    </w:tblStylePr>
    <w:tblStylePr w:type="band1Horz">
      <w:tblPr/>
      <w:tcPr>
        <w:shd w:val="clear" w:color="auto" w:fill="ACAAAA" w:themeFill="accent6" w:themeFillTint="7F"/>
      </w:tcPr>
    </w:tblStylePr>
  </w:style>
  <w:style w:type="table" w:customStyle="1" w:styleId="ColorfulList1">
    <w:name w:val="Colorful List1"/>
    <w:basedOn w:val="TableNormal"/>
    <w:uiPriority w:val="72"/>
    <w:rsid w:val="000B7E7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A0066" w:themeFill="accent2" w:themeFillShade="CC"/>
      </w:tcPr>
    </w:tblStylePr>
    <w:tblStylePr w:type="lastRow">
      <w:rPr>
        <w:b/>
        <w:bCs/>
        <w:color w:val="3A00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0B7E73"/>
    <w:rPr>
      <w:color w:val="000000" w:themeColor="text1"/>
    </w:rPr>
    <w:tblPr>
      <w:tblStyleRowBandSize w:val="1"/>
      <w:tblStyleColBandSize w:val="1"/>
    </w:tblPr>
    <w:tcPr>
      <w:shd w:val="clear" w:color="auto" w:fill="E1E7FD" w:themeFill="accent1" w:themeFillTint="19"/>
    </w:tcPr>
    <w:tblStylePr w:type="firstRow">
      <w:rPr>
        <w:b/>
        <w:bCs/>
        <w:color w:val="FFFFFF" w:themeColor="background1"/>
      </w:rPr>
      <w:tblPr/>
      <w:tcPr>
        <w:tcBorders>
          <w:bottom w:val="single" w:sz="12" w:space="0" w:color="FFFFFF" w:themeColor="background1"/>
        </w:tcBorders>
        <w:shd w:val="clear" w:color="auto" w:fill="3A0066" w:themeFill="accent2" w:themeFillShade="CC"/>
      </w:tcPr>
    </w:tblStylePr>
    <w:tblStylePr w:type="lastRow">
      <w:rPr>
        <w:b/>
        <w:bCs/>
        <w:color w:val="3A00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C3FB" w:themeFill="accent1" w:themeFillTint="3F"/>
      </w:tcPr>
    </w:tblStylePr>
    <w:tblStylePr w:type="band1Horz">
      <w:tblPr/>
      <w:tcPr>
        <w:shd w:val="clear" w:color="auto" w:fill="C2CEFB" w:themeFill="accent1" w:themeFillTint="33"/>
      </w:tcPr>
    </w:tblStylePr>
  </w:style>
  <w:style w:type="table" w:styleId="ColorfulList-Accent2">
    <w:name w:val="Colorful List Accent 2"/>
    <w:basedOn w:val="TableNormal"/>
    <w:uiPriority w:val="72"/>
    <w:rsid w:val="000B7E73"/>
    <w:rPr>
      <w:color w:val="000000" w:themeColor="text1"/>
    </w:rPr>
    <w:tblPr>
      <w:tblStyleRowBandSize w:val="1"/>
      <w:tblStyleColBandSize w:val="1"/>
    </w:tblPr>
    <w:tcPr>
      <w:shd w:val="clear" w:color="auto" w:fill="EFD9FF" w:themeFill="accent2" w:themeFillTint="19"/>
    </w:tcPr>
    <w:tblStylePr w:type="firstRow">
      <w:rPr>
        <w:b/>
        <w:bCs/>
        <w:color w:val="FFFFFF" w:themeColor="background1"/>
      </w:rPr>
      <w:tblPr/>
      <w:tcPr>
        <w:tcBorders>
          <w:bottom w:val="single" w:sz="12" w:space="0" w:color="FFFFFF" w:themeColor="background1"/>
        </w:tcBorders>
        <w:shd w:val="clear" w:color="auto" w:fill="3A0066" w:themeFill="accent2" w:themeFillShade="CC"/>
      </w:tcPr>
    </w:tblStylePr>
    <w:tblStylePr w:type="lastRow">
      <w:rPr>
        <w:b/>
        <w:bCs/>
        <w:color w:val="3A00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A0FF" w:themeFill="accent2" w:themeFillTint="3F"/>
      </w:tcPr>
    </w:tblStylePr>
    <w:tblStylePr w:type="band1Horz">
      <w:tblPr/>
      <w:tcPr>
        <w:shd w:val="clear" w:color="auto" w:fill="DEB2FF" w:themeFill="accent2" w:themeFillTint="33"/>
      </w:tcPr>
    </w:tblStylePr>
  </w:style>
  <w:style w:type="table" w:styleId="ColorfulList-Accent3">
    <w:name w:val="Colorful List Accent 3"/>
    <w:basedOn w:val="TableNormal"/>
    <w:uiPriority w:val="72"/>
    <w:rsid w:val="000B7E73"/>
    <w:rPr>
      <w:color w:val="000000" w:themeColor="text1"/>
    </w:rPr>
    <w:tblPr>
      <w:tblStyleRowBandSize w:val="1"/>
      <w:tblStyleColBandSize w:val="1"/>
    </w:tblPr>
    <w:tcPr>
      <w:shd w:val="clear" w:color="auto" w:fill="E0F6FB" w:themeFill="accent3" w:themeFillTint="19"/>
    </w:tcPr>
    <w:tblStylePr w:type="firstRow">
      <w:rPr>
        <w:b/>
        <w:bCs/>
        <w:color w:val="FFFFFF" w:themeColor="background1"/>
      </w:rPr>
      <w:tblPr/>
      <w:tcPr>
        <w:tcBorders>
          <w:bottom w:val="single" w:sz="12" w:space="0" w:color="FFFFFF" w:themeColor="background1"/>
        </w:tcBorders>
        <w:shd w:val="clear" w:color="auto" w:fill="7A0938" w:themeFill="accent4" w:themeFillShade="CC"/>
      </w:tcPr>
    </w:tblStylePr>
    <w:tblStylePr w:type="lastRow">
      <w:rPr>
        <w:b/>
        <w:bCs/>
        <w:color w:val="7A093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E9F6" w:themeFill="accent3" w:themeFillTint="3F"/>
      </w:tcPr>
    </w:tblStylePr>
    <w:tblStylePr w:type="band1Horz">
      <w:tblPr/>
      <w:tcPr>
        <w:shd w:val="clear" w:color="auto" w:fill="C1EDF8" w:themeFill="accent3" w:themeFillTint="33"/>
      </w:tcPr>
    </w:tblStylePr>
  </w:style>
  <w:style w:type="table" w:styleId="ColorfulList-Accent4">
    <w:name w:val="Colorful List Accent 4"/>
    <w:basedOn w:val="TableNormal"/>
    <w:uiPriority w:val="72"/>
    <w:rsid w:val="000B7E73"/>
    <w:rPr>
      <w:color w:val="000000" w:themeColor="text1"/>
    </w:rPr>
    <w:tblPr>
      <w:tblStyleRowBandSize w:val="1"/>
      <w:tblStyleColBandSize w:val="1"/>
    </w:tblPr>
    <w:tcPr>
      <w:shd w:val="clear" w:color="auto" w:fill="FCDFEB" w:themeFill="accent4" w:themeFillTint="19"/>
    </w:tcPr>
    <w:tblStylePr w:type="firstRow">
      <w:rPr>
        <w:b/>
        <w:bCs/>
        <w:color w:val="FFFFFF" w:themeColor="background1"/>
      </w:rPr>
      <w:tblPr/>
      <w:tcPr>
        <w:tcBorders>
          <w:bottom w:val="single" w:sz="12" w:space="0" w:color="FFFFFF" w:themeColor="background1"/>
        </w:tcBorders>
        <w:shd w:val="clear" w:color="auto" w:fill="0D6277" w:themeFill="accent3" w:themeFillShade="CC"/>
      </w:tcPr>
    </w:tblStylePr>
    <w:tblStylePr w:type="lastRow">
      <w:rPr>
        <w:b/>
        <w:bCs/>
        <w:color w:val="0D627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AFCE" w:themeFill="accent4" w:themeFillTint="3F"/>
      </w:tcPr>
    </w:tblStylePr>
    <w:tblStylePr w:type="band1Horz">
      <w:tblPr/>
      <w:tcPr>
        <w:shd w:val="clear" w:color="auto" w:fill="FABFD7" w:themeFill="accent4" w:themeFillTint="33"/>
      </w:tcPr>
    </w:tblStylePr>
  </w:style>
  <w:style w:type="table" w:styleId="ColorfulList-Accent5">
    <w:name w:val="Colorful List Accent 5"/>
    <w:basedOn w:val="TableNormal"/>
    <w:uiPriority w:val="72"/>
    <w:rsid w:val="000B7E73"/>
    <w:rPr>
      <w:color w:val="000000" w:themeColor="text1"/>
    </w:rPr>
    <w:tblPr>
      <w:tblStyleRowBandSize w:val="1"/>
      <w:tblStyleColBandSize w:val="1"/>
    </w:tblPr>
    <w:tcPr>
      <w:shd w:val="clear" w:color="auto" w:fill="F4F4F4" w:themeFill="accent5" w:themeFillTint="19"/>
    </w:tcPr>
    <w:tblStylePr w:type="firstRow">
      <w:rPr>
        <w:b/>
        <w:bCs/>
        <w:color w:val="FFFFFF" w:themeColor="background1"/>
      </w:rPr>
      <w:tblPr/>
      <w:tcPr>
        <w:tcBorders>
          <w:bottom w:val="single" w:sz="12" w:space="0" w:color="FFFFFF" w:themeColor="background1"/>
        </w:tcBorders>
        <w:shd w:val="clear" w:color="auto" w:fill="464444" w:themeFill="accent6" w:themeFillShade="CC"/>
      </w:tcPr>
    </w:tblStylePr>
    <w:tblStylePr w:type="lastRow">
      <w:rPr>
        <w:b/>
        <w:bCs/>
        <w:color w:val="46444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E4E3" w:themeFill="accent5" w:themeFillTint="3F"/>
      </w:tcPr>
    </w:tblStylePr>
    <w:tblStylePr w:type="band1Horz">
      <w:tblPr/>
      <w:tcPr>
        <w:shd w:val="clear" w:color="auto" w:fill="E9E9E9" w:themeFill="accent5" w:themeFillTint="33"/>
      </w:tcPr>
    </w:tblStylePr>
  </w:style>
  <w:style w:type="table" w:styleId="ColorfulList-Accent6">
    <w:name w:val="Colorful List Accent 6"/>
    <w:basedOn w:val="TableNormal"/>
    <w:uiPriority w:val="72"/>
    <w:rsid w:val="000B7E73"/>
    <w:rPr>
      <w:color w:val="000000" w:themeColor="text1"/>
    </w:rPr>
    <w:tblPr>
      <w:tblStyleRowBandSize w:val="1"/>
      <w:tblStyleColBandSize w:val="1"/>
    </w:tblPr>
    <w:tcPr>
      <w:shd w:val="clear" w:color="auto" w:fill="EEEEEE" w:themeFill="accent6" w:themeFillTint="19"/>
    </w:tcPr>
    <w:tblStylePr w:type="firstRow">
      <w:rPr>
        <w:b/>
        <w:bCs/>
        <w:color w:val="FFFFFF" w:themeColor="background1"/>
      </w:rPr>
      <w:tblPr/>
      <w:tcPr>
        <w:tcBorders>
          <w:bottom w:val="single" w:sz="12" w:space="0" w:color="FFFFFF" w:themeColor="background1"/>
        </w:tcBorders>
        <w:shd w:val="clear" w:color="auto" w:fill="777574" w:themeFill="accent5" w:themeFillShade="CC"/>
      </w:tcPr>
    </w:tblStylePr>
    <w:tblStylePr w:type="lastRow">
      <w:rPr>
        <w:b/>
        <w:bCs/>
        <w:color w:val="77757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4D4" w:themeFill="accent6" w:themeFillTint="3F"/>
      </w:tcPr>
    </w:tblStylePr>
    <w:tblStylePr w:type="band1Horz">
      <w:tblPr/>
      <w:tcPr>
        <w:shd w:val="clear" w:color="auto" w:fill="DDDCDC" w:themeFill="accent6" w:themeFillTint="33"/>
      </w:tcPr>
    </w:tblStylePr>
  </w:style>
  <w:style w:type="table" w:customStyle="1" w:styleId="ColorfulShading1">
    <w:name w:val="Colorful Shading1"/>
    <w:basedOn w:val="TableNormal"/>
    <w:uiPriority w:val="71"/>
    <w:rsid w:val="000B7E73"/>
    <w:rPr>
      <w:color w:val="000000" w:themeColor="text1"/>
    </w:rPr>
    <w:tblPr>
      <w:tblStyleRowBandSize w:val="1"/>
      <w:tblStyleColBandSize w:val="1"/>
      <w:tblBorders>
        <w:top w:val="single" w:sz="24" w:space="0" w:color="4A008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0B7E73"/>
    <w:rPr>
      <w:color w:val="000000" w:themeColor="text1"/>
    </w:rPr>
    <w:tblPr>
      <w:tblStyleRowBandSize w:val="1"/>
      <w:tblStyleColBandSize w:val="1"/>
      <w:tblBorders>
        <w:top w:val="single" w:sz="24" w:space="0" w:color="4A0080" w:themeColor="accent2"/>
        <w:left w:val="single" w:sz="4" w:space="0" w:color="0A2FB5" w:themeColor="accent1"/>
        <w:bottom w:val="single" w:sz="4" w:space="0" w:color="0A2FB5" w:themeColor="accent1"/>
        <w:right w:val="single" w:sz="4" w:space="0" w:color="0A2FB5" w:themeColor="accent1"/>
        <w:insideH w:val="single" w:sz="4" w:space="0" w:color="FFFFFF" w:themeColor="background1"/>
        <w:insideV w:val="single" w:sz="4" w:space="0" w:color="FFFFFF" w:themeColor="background1"/>
      </w:tblBorders>
    </w:tblPr>
    <w:tcPr>
      <w:shd w:val="clear" w:color="auto" w:fill="E1E7FD" w:themeFill="accent1" w:themeFillTint="19"/>
    </w:tcPr>
    <w:tblStylePr w:type="firstRow">
      <w:rPr>
        <w:b/>
        <w:bCs/>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61C6C" w:themeFill="accent1" w:themeFillShade="99"/>
      </w:tcPr>
    </w:tblStylePr>
    <w:tblStylePr w:type="firstCol">
      <w:rPr>
        <w:color w:val="FFFFFF" w:themeColor="background1"/>
      </w:rPr>
      <w:tblPr/>
      <w:tcPr>
        <w:tcBorders>
          <w:top w:val="nil"/>
          <w:left w:val="nil"/>
          <w:bottom w:val="nil"/>
          <w:right w:val="nil"/>
          <w:insideH w:val="single" w:sz="4" w:space="0" w:color="061C6C" w:themeColor="accent1" w:themeShade="99"/>
          <w:insideV w:val="nil"/>
        </w:tcBorders>
        <w:shd w:val="clear" w:color="auto" w:fill="061C6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61C6C" w:themeFill="accent1" w:themeFillShade="99"/>
      </w:tcPr>
    </w:tblStylePr>
    <w:tblStylePr w:type="band1Vert">
      <w:tblPr/>
      <w:tcPr>
        <w:shd w:val="clear" w:color="auto" w:fill="869EF8" w:themeFill="accent1" w:themeFillTint="66"/>
      </w:tcPr>
    </w:tblStylePr>
    <w:tblStylePr w:type="band1Horz">
      <w:tblPr/>
      <w:tcPr>
        <w:shd w:val="clear" w:color="auto" w:fill="6887F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B7E73"/>
    <w:rPr>
      <w:color w:val="000000" w:themeColor="text1"/>
    </w:rPr>
    <w:tblPr>
      <w:tblStyleRowBandSize w:val="1"/>
      <w:tblStyleColBandSize w:val="1"/>
      <w:tblBorders>
        <w:top w:val="single" w:sz="24" w:space="0" w:color="4A0080" w:themeColor="accent2"/>
        <w:left w:val="single" w:sz="4" w:space="0" w:color="4A0080" w:themeColor="accent2"/>
        <w:bottom w:val="single" w:sz="4" w:space="0" w:color="4A0080" w:themeColor="accent2"/>
        <w:right w:val="single" w:sz="4" w:space="0" w:color="4A0080" w:themeColor="accent2"/>
        <w:insideH w:val="single" w:sz="4" w:space="0" w:color="FFFFFF" w:themeColor="background1"/>
        <w:insideV w:val="single" w:sz="4" w:space="0" w:color="FFFFFF" w:themeColor="background1"/>
      </w:tblBorders>
    </w:tblPr>
    <w:tcPr>
      <w:shd w:val="clear" w:color="auto" w:fill="EFD9FF" w:themeFill="accent2" w:themeFillTint="19"/>
    </w:tcPr>
    <w:tblStylePr w:type="firstRow">
      <w:rPr>
        <w:b/>
        <w:bCs/>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004C" w:themeFill="accent2" w:themeFillShade="99"/>
      </w:tcPr>
    </w:tblStylePr>
    <w:tblStylePr w:type="firstCol">
      <w:rPr>
        <w:color w:val="FFFFFF" w:themeColor="background1"/>
      </w:rPr>
      <w:tblPr/>
      <w:tcPr>
        <w:tcBorders>
          <w:top w:val="nil"/>
          <w:left w:val="nil"/>
          <w:bottom w:val="nil"/>
          <w:right w:val="nil"/>
          <w:insideH w:val="single" w:sz="4" w:space="0" w:color="2C004C" w:themeColor="accent2" w:themeShade="99"/>
          <w:insideV w:val="nil"/>
        </w:tcBorders>
        <w:shd w:val="clear" w:color="auto" w:fill="2C004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C004C" w:themeFill="accent2" w:themeFillShade="99"/>
      </w:tcPr>
    </w:tblStylePr>
    <w:tblStylePr w:type="band1Vert">
      <w:tblPr/>
      <w:tcPr>
        <w:shd w:val="clear" w:color="auto" w:fill="BE66FF" w:themeFill="accent2" w:themeFillTint="66"/>
      </w:tcPr>
    </w:tblStylePr>
    <w:tblStylePr w:type="band1Horz">
      <w:tblPr/>
      <w:tcPr>
        <w:shd w:val="clear" w:color="auto" w:fill="AE40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B7E73"/>
    <w:rPr>
      <w:color w:val="000000" w:themeColor="text1"/>
    </w:rPr>
    <w:tblPr>
      <w:tblStyleRowBandSize w:val="1"/>
      <w:tblStyleColBandSize w:val="1"/>
      <w:tblBorders>
        <w:top w:val="single" w:sz="24" w:space="0" w:color="990C47" w:themeColor="accent4"/>
        <w:left w:val="single" w:sz="4" w:space="0" w:color="117C96" w:themeColor="accent3"/>
        <w:bottom w:val="single" w:sz="4" w:space="0" w:color="117C96" w:themeColor="accent3"/>
        <w:right w:val="single" w:sz="4" w:space="0" w:color="117C96" w:themeColor="accent3"/>
        <w:insideH w:val="single" w:sz="4" w:space="0" w:color="FFFFFF" w:themeColor="background1"/>
        <w:insideV w:val="single" w:sz="4" w:space="0" w:color="FFFFFF" w:themeColor="background1"/>
      </w:tblBorders>
    </w:tblPr>
    <w:tcPr>
      <w:shd w:val="clear" w:color="auto" w:fill="E0F6FB" w:themeFill="accent3" w:themeFillTint="19"/>
    </w:tcPr>
    <w:tblStylePr w:type="firstRow">
      <w:rPr>
        <w:b/>
        <w:bCs/>
      </w:rPr>
      <w:tblPr/>
      <w:tcPr>
        <w:tcBorders>
          <w:top w:val="nil"/>
          <w:left w:val="nil"/>
          <w:bottom w:val="single" w:sz="24" w:space="0" w:color="990C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A4A59" w:themeFill="accent3" w:themeFillShade="99"/>
      </w:tcPr>
    </w:tblStylePr>
    <w:tblStylePr w:type="firstCol">
      <w:rPr>
        <w:color w:val="FFFFFF" w:themeColor="background1"/>
      </w:rPr>
      <w:tblPr/>
      <w:tcPr>
        <w:tcBorders>
          <w:top w:val="nil"/>
          <w:left w:val="nil"/>
          <w:bottom w:val="nil"/>
          <w:right w:val="nil"/>
          <w:insideH w:val="single" w:sz="4" w:space="0" w:color="0A4A59" w:themeColor="accent3" w:themeShade="99"/>
          <w:insideV w:val="nil"/>
        </w:tcBorders>
        <w:shd w:val="clear" w:color="auto" w:fill="0A4A5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A4A59" w:themeFill="accent3" w:themeFillShade="99"/>
      </w:tcPr>
    </w:tblStylePr>
    <w:tblStylePr w:type="band1Vert">
      <w:tblPr/>
      <w:tcPr>
        <w:shd w:val="clear" w:color="auto" w:fill="83DBF1" w:themeFill="accent3" w:themeFillTint="66"/>
      </w:tcPr>
    </w:tblStylePr>
    <w:tblStylePr w:type="band1Horz">
      <w:tblPr/>
      <w:tcPr>
        <w:shd w:val="clear" w:color="auto" w:fill="65D2ED" w:themeFill="accent3" w:themeFillTint="7F"/>
      </w:tcPr>
    </w:tblStylePr>
  </w:style>
  <w:style w:type="table" w:styleId="ColorfulShading-Accent4">
    <w:name w:val="Colorful Shading Accent 4"/>
    <w:basedOn w:val="TableNormal"/>
    <w:uiPriority w:val="71"/>
    <w:rsid w:val="000B7E73"/>
    <w:rPr>
      <w:color w:val="000000" w:themeColor="text1"/>
    </w:rPr>
    <w:tblPr>
      <w:tblStyleRowBandSize w:val="1"/>
      <w:tblStyleColBandSize w:val="1"/>
      <w:tblBorders>
        <w:top w:val="single" w:sz="24" w:space="0" w:color="117C96" w:themeColor="accent3"/>
        <w:left w:val="single" w:sz="4" w:space="0" w:color="990C47" w:themeColor="accent4"/>
        <w:bottom w:val="single" w:sz="4" w:space="0" w:color="990C47" w:themeColor="accent4"/>
        <w:right w:val="single" w:sz="4" w:space="0" w:color="990C47" w:themeColor="accent4"/>
        <w:insideH w:val="single" w:sz="4" w:space="0" w:color="FFFFFF" w:themeColor="background1"/>
        <w:insideV w:val="single" w:sz="4" w:space="0" w:color="FFFFFF" w:themeColor="background1"/>
      </w:tblBorders>
    </w:tblPr>
    <w:tcPr>
      <w:shd w:val="clear" w:color="auto" w:fill="FCDFEB" w:themeFill="accent4" w:themeFillTint="19"/>
    </w:tcPr>
    <w:tblStylePr w:type="firstRow">
      <w:rPr>
        <w:b/>
        <w:bCs/>
      </w:rPr>
      <w:tblPr/>
      <w:tcPr>
        <w:tcBorders>
          <w:top w:val="nil"/>
          <w:left w:val="nil"/>
          <w:bottom w:val="single" w:sz="24" w:space="0" w:color="117C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B072A" w:themeFill="accent4" w:themeFillShade="99"/>
      </w:tcPr>
    </w:tblStylePr>
    <w:tblStylePr w:type="firstCol">
      <w:rPr>
        <w:color w:val="FFFFFF" w:themeColor="background1"/>
      </w:rPr>
      <w:tblPr/>
      <w:tcPr>
        <w:tcBorders>
          <w:top w:val="nil"/>
          <w:left w:val="nil"/>
          <w:bottom w:val="nil"/>
          <w:right w:val="nil"/>
          <w:insideH w:val="single" w:sz="4" w:space="0" w:color="5B072A" w:themeColor="accent4" w:themeShade="99"/>
          <w:insideV w:val="nil"/>
        </w:tcBorders>
        <w:shd w:val="clear" w:color="auto" w:fill="5B07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B072A" w:themeFill="accent4" w:themeFillShade="99"/>
      </w:tcPr>
    </w:tblStylePr>
    <w:tblStylePr w:type="band1Vert">
      <w:tblPr/>
      <w:tcPr>
        <w:shd w:val="clear" w:color="auto" w:fill="F57FB0" w:themeFill="accent4" w:themeFillTint="66"/>
      </w:tcPr>
    </w:tblStylePr>
    <w:tblStylePr w:type="band1Horz">
      <w:tblPr/>
      <w:tcPr>
        <w:shd w:val="clear" w:color="auto" w:fill="F25F9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B7E73"/>
    <w:rPr>
      <w:color w:val="000000" w:themeColor="text1"/>
    </w:rPr>
    <w:tblPr>
      <w:tblStyleRowBandSize w:val="1"/>
      <w:tblStyleColBandSize w:val="1"/>
      <w:tblBorders>
        <w:top w:val="single" w:sz="24" w:space="0" w:color="585656" w:themeColor="accent6"/>
        <w:left w:val="single" w:sz="4" w:space="0" w:color="959392" w:themeColor="accent5"/>
        <w:bottom w:val="single" w:sz="4" w:space="0" w:color="959392" w:themeColor="accent5"/>
        <w:right w:val="single" w:sz="4" w:space="0" w:color="959392" w:themeColor="accent5"/>
        <w:insideH w:val="single" w:sz="4" w:space="0" w:color="FFFFFF" w:themeColor="background1"/>
        <w:insideV w:val="single" w:sz="4" w:space="0" w:color="FFFFFF" w:themeColor="background1"/>
      </w:tblBorders>
    </w:tblPr>
    <w:tcPr>
      <w:shd w:val="clear" w:color="auto" w:fill="F4F4F4" w:themeFill="accent5" w:themeFillTint="19"/>
    </w:tcPr>
    <w:tblStylePr w:type="firstRow">
      <w:rPr>
        <w:b/>
        <w:bCs/>
      </w:rPr>
      <w:tblPr/>
      <w:tcPr>
        <w:tcBorders>
          <w:top w:val="nil"/>
          <w:left w:val="nil"/>
          <w:bottom w:val="single" w:sz="24" w:space="0" w:color="58565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95857" w:themeFill="accent5" w:themeFillShade="99"/>
      </w:tcPr>
    </w:tblStylePr>
    <w:tblStylePr w:type="firstCol">
      <w:rPr>
        <w:color w:val="FFFFFF" w:themeColor="background1"/>
      </w:rPr>
      <w:tblPr/>
      <w:tcPr>
        <w:tcBorders>
          <w:top w:val="nil"/>
          <w:left w:val="nil"/>
          <w:bottom w:val="nil"/>
          <w:right w:val="nil"/>
          <w:insideH w:val="single" w:sz="4" w:space="0" w:color="595857" w:themeColor="accent5" w:themeShade="99"/>
          <w:insideV w:val="nil"/>
        </w:tcBorders>
        <w:shd w:val="clear" w:color="auto" w:fill="5958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95857" w:themeFill="accent5" w:themeFillShade="99"/>
      </w:tcPr>
    </w:tblStylePr>
    <w:tblStylePr w:type="band1Vert">
      <w:tblPr/>
      <w:tcPr>
        <w:shd w:val="clear" w:color="auto" w:fill="D4D3D3" w:themeFill="accent5" w:themeFillTint="66"/>
      </w:tcPr>
    </w:tblStylePr>
    <w:tblStylePr w:type="band1Horz">
      <w:tblPr/>
      <w:tcPr>
        <w:shd w:val="clear" w:color="auto" w:fill="CAC9C8"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B7E73"/>
    <w:rPr>
      <w:color w:val="000000" w:themeColor="text1"/>
    </w:rPr>
    <w:tblPr>
      <w:tblStyleRowBandSize w:val="1"/>
      <w:tblStyleColBandSize w:val="1"/>
      <w:tblBorders>
        <w:top w:val="single" w:sz="24" w:space="0" w:color="959392" w:themeColor="accent5"/>
        <w:left w:val="single" w:sz="4" w:space="0" w:color="585656" w:themeColor="accent6"/>
        <w:bottom w:val="single" w:sz="4" w:space="0" w:color="585656" w:themeColor="accent6"/>
        <w:right w:val="single" w:sz="4" w:space="0" w:color="585656" w:themeColor="accent6"/>
        <w:insideH w:val="single" w:sz="4" w:space="0" w:color="FFFFFF" w:themeColor="background1"/>
        <w:insideV w:val="single" w:sz="4" w:space="0" w:color="FFFFFF" w:themeColor="background1"/>
      </w:tblBorders>
    </w:tblPr>
    <w:tcPr>
      <w:shd w:val="clear" w:color="auto" w:fill="EEEEEE" w:themeFill="accent6" w:themeFillTint="19"/>
    </w:tcPr>
    <w:tblStylePr w:type="firstRow">
      <w:rPr>
        <w:b/>
        <w:bCs/>
      </w:rPr>
      <w:tblPr/>
      <w:tcPr>
        <w:tcBorders>
          <w:top w:val="nil"/>
          <w:left w:val="nil"/>
          <w:bottom w:val="single" w:sz="24" w:space="0" w:color="95939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3333" w:themeFill="accent6" w:themeFillShade="99"/>
      </w:tcPr>
    </w:tblStylePr>
    <w:tblStylePr w:type="firstCol">
      <w:rPr>
        <w:color w:val="FFFFFF" w:themeColor="background1"/>
      </w:rPr>
      <w:tblPr/>
      <w:tcPr>
        <w:tcBorders>
          <w:top w:val="nil"/>
          <w:left w:val="nil"/>
          <w:bottom w:val="nil"/>
          <w:right w:val="nil"/>
          <w:insideH w:val="single" w:sz="4" w:space="0" w:color="343333" w:themeColor="accent6" w:themeShade="99"/>
          <w:insideV w:val="nil"/>
        </w:tcBorders>
        <w:shd w:val="clear" w:color="auto" w:fill="34333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43333" w:themeFill="accent6" w:themeFillShade="99"/>
      </w:tcPr>
    </w:tblStylePr>
    <w:tblStylePr w:type="band1Vert">
      <w:tblPr/>
      <w:tcPr>
        <w:shd w:val="clear" w:color="auto" w:fill="BCBABA" w:themeFill="accent6" w:themeFillTint="66"/>
      </w:tcPr>
    </w:tblStylePr>
    <w:tblStylePr w:type="band1Horz">
      <w:tblPr/>
      <w:tcPr>
        <w:shd w:val="clear" w:color="auto" w:fill="ACAAAA"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rsid w:val="000B7E73"/>
    <w:rPr>
      <w:sz w:val="16"/>
      <w:szCs w:val="16"/>
      <w:lang w:val="en-GB"/>
    </w:rPr>
  </w:style>
  <w:style w:type="paragraph" w:styleId="CommentText">
    <w:name w:val="annotation text"/>
    <w:basedOn w:val="Normal"/>
    <w:link w:val="CommentTextChar"/>
    <w:rsid w:val="000B7E73"/>
  </w:style>
  <w:style w:type="character" w:customStyle="1" w:styleId="CommentTextChar">
    <w:name w:val="Comment Text Char"/>
    <w:basedOn w:val="DefaultParagraphFont"/>
    <w:link w:val="CommentText"/>
    <w:rsid w:val="000B7E73"/>
    <w:rPr>
      <w:lang w:val="en-GB"/>
    </w:rPr>
  </w:style>
  <w:style w:type="paragraph" w:styleId="CommentSubject">
    <w:name w:val="annotation subject"/>
    <w:basedOn w:val="CommentText"/>
    <w:next w:val="CommentText"/>
    <w:link w:val="CommentSubjectChar"/>
    <w:rsid w:val="000B7E73"/>
    <w:rPr>
      <w:b/>
      <w:bCs/>
    </w:rPr>
  </w:style>
  <w:style w:type="character" w:customStyle="1" w:styleId="CommentSubjectChar">
    <w:name w:val="Comment Subject Char"/>
    <w:basedOn w:val="CommentTextChar"/>
    <w:link w:val="CommentSubject"/>
    <w:rsid w:val="000B7E73"/>
    <w:rPr>
      <w:b/>
      <w:bCs/>
      <w:lang w:val="en-GB"/>
    </w:rPr>
  </w:style>
  <w:style w:type="table" w:customStyle="1" w:styleId="DarkList1">
    <w:name w:val="Dark List1"/>
    <w:basedOn w:val="TableNormal"/>
    <w:uiPriority w:val="70"/>
    <w:rsid w:val="000B7E7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0B7E73"/>
    <w:rPr>
      <w:color w:val="FFFFFF" w:themeColor="background1"/>
    </w:rPr>
    <w:tblPr>
      <w:tblStyleRowBandSize w:val="1"/>
      <w:tblStyleColBandSize w:val="1"/>
    </w:tblPr>
    <w:tcPr>
      <w:shd w:val="clear" w:color="auto" w:fill="0A2FB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517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72387"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72387" w:themeFill="accent1" w:themeFillShade="BF"/>
      </w:tcPr>
    </w:tblStylePr>
    <w:tblStylePr w:type="band1Vert">
      <w:tblPr/>
      <w:tcPr>
        <w:tcBorders>
          <w:top w:val="nil"/>
          <w:left w:val="nil"/>
          <w:bottom w:val="nil"/>
          <w:right w:val="nil"/>
          <w:insideH w:val="nil"/>
          <w:insideV w:val="nil"/>
        </w:tcBorders>
        <w:shd w:val="clear" w:color="auto" w:fill="072387" w:themeFill="accent1" w:themeFillShade="BF"/>
      </w:tcPr>
    </w:tblStylePr>
    <w:tblStylePr w:type="band1Horz">
      <w:tblPr/>
      <w:tcPr>
        <w:tcBorders>
          <w:top w:val="nil"/>
          <w:left w:val="nil"/>
          <w:bottom w:val="nil"/>
          <w:right w:val="nil"/>
          <w:insideH w:val="nil"/>
          <w:insideV w:val="nil"/>
        </w:tcBorders>
        <w:shd w:val="clear" w:color="auto" w:fill="072387" w:themeFill="accent1" w:themeFillShade="BF"/>
      </w:tcPr>
    </w:tblStylePr>
  </w:style>
  <w:style w:type="table" w:styleId="DarkList-Accent2">
    <w:name w:val="Dark List Accent 2"/>
    <w:basedOn w:val="TableNormal"/>
    <w:uiPriority w:val="70"/>
    <w:rsid w:val="000B7E73"/>
    <w:rPr>
      <w:color w:val="FFFFFF" w:themeColor="background1"/>
    </w:rPr>
    <w:tblPr>
      <w:tblStyleRowBandSize w:val="1"/>
      <w:tblStyleColBandSize w:val="1"/>
    </w:tblPr>
    <w:tcPr>
      <w:shd w:val="clear" w:color="auto" w:fill="4A008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003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7005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7005F" w:themeFill="accent2" w:themeFillShade="BF"/>
      </w:tcPr>
    </w:tblStylePr>
    <w:tblStylePr w:type="band1Vert">
      <w:tblPr/>
      <w:tcPr>
        <w:tcBorders>
          <w:top w:val="nil"/>
          <w:left w:val="nil"/>
          <w:bottom w:val="nil"/>
          <w:right w:val="nil"/>
          <w:insideH w:val="nil"/>
          <w:insideV w:val="nil"/>
        </w:tcBorders>
        <w:shd w:val="clear" w:color="auto" w:fill="37005F" w:themeFill="accent2" w:themeFillShade="BF"/>
      </w:tcPr>
    </w:tblStylePr>
    <w:tblStylePr w:type="band1Horz">
      <w:tblPr/>
      <w:tcPr>
        <w:tcBorders>
          <w:top w:val="nil"/>
          <w:left w:val="nil"/>
          <w:bottom w:val="nil"/>
          <w:right w:val="nil"/>
          <w:insideH w:val="nil"/>
          <w:insideV w:val="nil"/>
        </w:tcBorders>
        <w:shd w:val="clear" w:color="auto" w:fill="37005F" w:themeFill="accent2" w:themeFillShade="BF"/>
      </w:tcPr>
    </w:tblStylePr>
  </w:style>
  <w:style w:type="table" w:styleId="DarkList-Accent3">
    <w:name w:val="Dark List Accent 3"/>
    <w:basedOn w:val="TableNormal"/>
    <w:uiPriority w:val="70"/>
    <w:rsid w:val="000B7E73"/>
    <w:rPr>
      <w:color w:val="FFFFFF" w:themeColor="background1"/>
    </w:rPr>
    <w:tblPr>
      <w:tblStyleRowBandSize w:val="1"/>
      <w:tblStyleColBandSize w:val="1"/>
    </w:tblPr>
    <w:tcPr>
      <w:shd w:val="clear" w:color="auto" w:fill="117C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3D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C5C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C5C70" w:themeFill="accent3" w:themeFillShade="BF"/>
      </w:tcPr>
    </w:tblStylePr>
    <w:tblStylePr w:type="band1Vert">
      <w:tblPr/>
      <w:tcPr>
        <w:tcBorders>
          <w:top w:val="nil"/>
          <w:left w:val="nil"/>
          <w:bottom w:val="nil"/>
          <w:right w:val="nil"/>
          <w:insideH w:val="nil"/>
          <w:insideV w:val="nil"/>
        </w:tcBorders>
        <w:shd w:val="clear" w:color="auto" w:fill="0C5C70" w:themeFill="accent3" w:themeFillShade="BF"/>
      </w:tcPr>
    </w:tblStylePr>
    <w:tblStylePr w:type="band1Horz">
      <w:tblPr/>
      <w:tcPr>
        <w:tcBorders>
          <w:top w:val="nil"/>
          <w:left w:val="nil"/>
          <w:bottom w:val="nil"/>
          <w:right w:val="nil"/>
          <w:insideH w:val="nil"/>
          <w:insideV w:val="nil"/>
        </w:tcBorders>
        <w:shd w:val="clear" w:color="auto" w:fill="0C5C70" w:themeFill="accent3" w:themeFillShade="BF"/>
      </w:tcPr>
    </w:tblStylePr>
  </w:style>
  <w:style w:type="table" w:styleId="DarkList-Accent4">
    <w:name w:val="Dark List Accent 4"/>
    <w:basedOn w:val="TableNormal"/>
    <w:uiPriority w:val="70"/>
    <w:rsid w:val="000B7E73"/>
    <w:rPr>
      <w:color w:val="FFFFFF" w:themeColor="background1"/>
    </w:rPr>
    <w:tblPr>
      <w:tblStyleRowBandSize w:val="1"/>
      <w:tblStyleColBandSize w:val="1"/>
    </w:tblPr>
    <w:tcPr>
      <w:shd w:val="clear" w:color="auto" w:fill="990C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C06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209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20934" w:themeFill="accent4" w:themeFillShade="BF"/>
      </w:tcPr>
    </w:tblStylePr>
    <w:tblStylePr w:type="band1Vert">
      <w:tblPr/>
      <w:tcPr>
        <w:tcBorders>
          <w:top w:val="nil"/>
          <w:left w:val="nil"/>
          <w:bottom w:val="nil"/>
          <w:right w:val="nil"/>
          <w:insideH w:val="nil"/>
          <w:insideV w:val="nil"/>
        </w:tcBorders>
        <w:shd w:val="clear" w:color="auto" w:fill="720934" w:themeFill="accent4" w:themeFillShade="BF"/>
      </w:tcPr>
    </w:tblStylePr>
    <w:tblStylePr w:type="band1Horz">
      <w:tblPr/>
      <w:tcPr>
        <w:tcBorders>
          <w:top w:val="nil"/>
          <w:left w:val="nil"/>
          <w:bottom w:val="nil"/>
          <w:right w:val="nil"/>
          <w:insideH w:val="nil"/>
          <w:insideV w:val="nil"/>
        </w:tcBorders>
        <w:shd w:val="clear" w:color="auto" w:fill="720934" w:themeFill="accent4" w:themeFillShade="BF"/>
      </w:tcPr>
    </w:tblStylePr>
  </w:style>
  <w:style w:type="table" w:styleId="DarkList-Accent5">
    <w:name w:val="Dark List Accent 5"/>
    <w:basedOn w:val="TableNormal"/>
    <w:uiPriority w:val="70"/>
    <w:rsid w:val="000B7E73"/>
    <w:rPr>
      <w:color w:val="FFFFFF" w:themeColor="background1"/>
    </w:rPr>
    <w:tblPr>
      <w:tblStyleRowBandSize w:val="1"/>
      <w:tblStyleColBandSize w:val="1"/>
    </w:tblPr>
    <w:tcPr>
      <w:shd w:val="clear" w:color="auto" w:fill="95939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9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F6D6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F6D6C" w:themeFill="accent5" w:themeFillShade="BF"/>
      </w:tcPr>
    </w:tblStylePr>
    <w:tblStylePr w:type="band1Vert">
      <w:tblPr/>
      <w:tcPr>
        <w:tcBorders>
          <w:top w:val="nil"/>
          <w:left w:val="nil"/>
          <w:bottom w:val="nil"/>
          <w:right w:val="nil"/>
          <w:insideH w:val="nil"/>
          <w:insideV w:val="nil"/>
        </w:tcBorders>
        <w:shd w:val="clear" w:color="auto" w:fill="6F6D6C" w:themeFill="accent5" w:themeFillShade="BF"/>
      </w:tcPr>
    </w:tblStylePr>
    <w:tblStylePr w:type="band1Horz">
      <w:tblPr/>
      <w:tcPr>
        <w:tcBorders>
          <w:top w:val="nil"/>
          <w:left w:val="nil"/>
          <w:bottom w:val="nil"/>
          <w:right w:val="nil"/>
          <w:insideH w:val="nil"/>
          <w:insideV w:val="nil"/>
        </w:tcBorders>
        <w:shd w:val="clear" w:color="auto" w:fill="6F6D6C" w:themeFill="accent5" w:themeFillShade="BF"/>
      </w:tcPr>
    </w:tblStylePr>
  </w:style>
  <w:style w:type="table" w:styleId="DarkList-Accent6">
    <w:name w:val="Dark List Accent 6"/>
    <w:basedOn w:val="TableNormal"/>
    <w:uiPriority w:val="70"/>
    <w:rsid w:val="000B7E73"/>
    <w:rPr>
      <w:color w:val="FFFFFF" w:themeColor="background1"/>
    </w:rPr>
    <w:tblPr>
      <w:tblStyleRowBandSize w:val="1"/>
      <w:tblStyleColBandSize w:val="1"/>
    </w:tblPr>
    <w:tcPr>
      <w:shd w:val="clear" w:color="auto" w:fill="58565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2A2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1404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14040" w:themeFill="accent6" w:themeFillShade="BF"/>
      </w:tcPr>
    </w:tblStylePr>
    <w:tblStylePr w:type="band1Vert">
      <w:tblPr/>
      <w:tcPr>
        <w:tcBorders>
          <w:top w:val="nil"/>
          <w:left w:val="nil"/>
          <w:bottom w:val="nil"/>
          <w:right w:val="nil"/>
          <w:insideH w:val="nil"/>
          <w:insideV w:val="nil"/>
        </w:tcBorders>
        <w:shd w:val="clear" w:color="auto" w:fill="414040" w:themeFill="accent6" w:themeFillShade="BF"/>
      </w:tcPr>
    </w:tblStylePr>
    <w:tblStylePr w:type="band1Horz">
      <w:tblPr/>
      <w:tcPr>
        <w:tcBorders>
          <w:top w:val="nil"/>
          <w:left w:val="nil"/>
          <w:bottom w:val="nil"/>
          <w:right w:val="nil"/>
          <w:insideH w:val="nil"/>
          <w:insideV w:val="nil"/>
        </w:tcBorders>
        <w:shd w:val="clear" w:color="auto" w:fill="414040" w:themeFill="accent6" w:themeFillShade="BF"/>
      </w:tcPr>
    </w:tblStylePr>
  </w:style>
  <w:style w:type="paragraph" w:styleId="Date">
    <w:name w:val="Date"/>
    <w:basedOn w:val="Normal"/>
    <w:next w:val="Normal"/>
    <w:link w:val="DateChar"/>
    <w:rsid w:val="000B7E73"/>
  </w:style>
  <w:style w:type="character" w:customStyle="1" w:styleId="DateChar">
    <w:name w:val="Date Char"/>
    <w:basedOn w:val="DefaultParagraphFont"/>
    <w:link w:val="Date"/>
    <w:rsid w:val="000B7E73"/>
    <w:rPr>
      <w:sz w:val="24"/>
      <w:szCs w:val="24"/>
      <w:lang w:val="en-GB"/>
    </w:rPr>
  </w:style>
  <w:style w:type="paragraph" w:styleId="DocumentMap">
    <w:name w:val="Document Map"/>
    <w:basedOn w:val="Normal"/>
    <w:link w:val="DocumentMapChar"/>
    <w:rsid w:val="000B7E73"/>
    <w:rPr>
      <w:rFonts w:ascii="Tahoma" w:hAnsi="Tahoma" w:cs="Tahoma"/>
      <w:sz w:val="16"/>
      <w:szCs w:val="16"/>
    </w:rPr>
  </w:style>
  <w:style w:type="character" w:customStyle="1" w:styleId="DocumentMapChar">
    <w:name w:val="Document Map Char"/>
    <w:basedOn w:val="DefaultParagraphFont"/>
    <w:link w:val="DocumentMap"/>
    <w:rsid w:val="000B7E73"/>
    <w:rPr>
      <w:rFonts w:ascii="Tahoma" w:hAnsi="Tahoma" w:cs="Tahoma"/>
      <w:sz w:val="16"/>
      <w:szCs w:val="16"/>
      <w:lang w:val="en-GB"/>
    </w:rPr>
  </w:style>
  <w:style w:type="paragraph" w:styleId="E-mailSignature">
    <w:name w:val="E-mail Signature"/>
    <w:basedOn w:val="Normal"/>
    <w:link w:val="E-mailSignatureChar"/>
    <w:rsid w:val="000B7E73"/>
  </w:style>
  <w:style w:type="character" w:customStyle="1" w:styleId="E-mailSignatureChar">
    <w:name w:val="E-mail Signature Char"/>
    <w:basedOn w:val="DefaultParagraphFont"/>
    <w:link w:val="E-mailSignature"/>
    <w:rsid w:val="000B7E73"/>
    <w:rPr>
      <w:sz w:val="24"/>
      <w:szCs w:val="24"/>
      <w:lang w:val="en-GB"/>
    </w:rPr>
  </w:style>
  <w:style w:type="character" w:styleId="Emphasis">
    <w:name w:val="Emphasis"/>
    <w:basedOn w:val="DefaultParagraphFont"/>
    <w:rsid w:val="000B7E73"/>
    <w:rPr>
      <w:i/>
      <w:iCs/>
      <w:lang w:val="en-GB"/>
    </w:rPr>
  </w:style>
  <w:style w:type="character" w:styleId="EndnoteReference">
    <w:name w:val="endnote reference"/>
    <w:basedOn w:val="DefaultParagraphFont"/>
    <w:rsid w:val="000B7E73"/>
    <w:rPr>
      <w:vertAlign w:val="superscript"/>
      <w:lang w:val="en-GB"/>
    </w:rPr>
  </w:style>
  <w:style w:type="paragraph" w:styleId="EndnoteText">
    <w:name w:val="endnote text"/>
    <w:basedOn w:val="Normal"/>
    <w:link w:val="EndnoteTextChar"/>
    <w:rsid w:val="000B7E73"/>
  </w:style>
  <w:style w:type="character" w:customStyle="1" w:styleId="EndnoteTextChar">
    <w:name w:val="Endnote Text Char"/>
    <w:basedOn w:val="DefaultParagraphFont"/>
    <w:link w:val="EndnoteText"/>
    <w:rsid w:val="000B7E73"/>
    <w:rPr>
      <w:lang w:val="en-GB"/>
    </w:rPr>
  </w:style>
  <w:style w:type="paragraph" w:styleId="EnvelopeAddress">
    <w:name w:val="envelope address"/>
    <w:basedOn w:val="Normal"/>
    <w:rsid w:val="000B7E73"/>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0B7E73"/>
    <w:rPr>
      <w:rFonts w:asciiTheme="majorHAnsi" w:eastAsiaTheme="majorEastAsia" w:hAnsiTheme="majorHAnsi" w:cstheme="majorBidi"/>
    </w:rPr>
  </w:style>
  <w:style w:type="character" w:styleId="FollowedHyperlink">
    <w:name w:val="FollowedHyperlink"/>
    <w:basedOn w:val="DefaultParagraphFont"/>
    <w:rsid w:val="000B7E73"/>
    <w:rPr>
      <w:color w:val="4A0080" w:themeColor="followedHyperlink"/>
      <w:u w:val="single"/>
      <w:lang w:val="en-GB"/>
    </w:rPr>
  </w:style>
  <w:style w:type="character" w:styleId="FootnoteReference">
    <w:name w:val="footnote reference"/>
    <w:basedOn w:val="DefaultParagraphFont"/>
    <w:rsid w:val="000B7E73"/>
    <w:rPr>
      <w:vertAlign w:val="superscript"/>
      <w:lang w:val="en-GB"/>
    </w:rPr>
  </w:style>
  <w:style w:type="paragraph" w:styleId="FootnoteText">
    <w:name w:val="footnote text"/>
    <w:basedOn w:val="Normal"/>
    <w:link w:val="FootnoteTextChar"/>
    <w:rsid w:val="000B7E73"/>
  </w:style>
  <w:style w:type="character" w:customStyle="1" w:styleId="FootnoteTextChar">
    <w:name w:val="Footnote Text Char"/>
    <w:basedOn w:val="DefaultParagraphFont"/>
    <w:link w:val="FootnoteText"/>
    <w:rsid w:val="000B7E73"/>
    <w:rPr>
      <w:lang w:val="en-GB"/>
    </w:rPr>
  </w:style>
  <w:style w:type="character" w:styleId="HTMLAcronym">
    <w:name w:val="HTML Acronym"/>
    <w:basedOn w:val="DefaultParagraphFont"/>
    <w:rsid w:val="000B7E73"/>
    <w:rPr>
      <w:lang w:val="en-GB"/>
    </w:rPr>
  </w:style>
  <w:style w:type="paragraph" w:styleId="HTMLAddress">
    <w:name w:val="HTML Address"/>
    <w:basedOn w:val="Normal"/>
    <w:link w:val="HTMLAddressChar"/>
    <w:rsid w:val="000B7E73"/>
    <w:rPr>
      <w:i/>
      <w:iCs/>
    </w:rPr>
  </w:style>
  <w:style w:type="character" w:customStyle="1" w:styleId="HTMLAddressChar">
    <w:name w:val="HTML Address Char"/>
    <w:basedOn w:val="DefaultParagraphFont"/>
    <w:link w:val="HTMLAddress"/>
    <w:rsid w:val="000B7E73"/>
    <w:rPr>
      <w:i/>
      <w:iCs/>
      <w:sz w:val="24"/>
      <w:szCs w:val="24"/>
      <w:lang w:val="en-GB"/>
    </w:rPr>
  </w:style>
  <w:style w:type="character" w:styleId="HTMLCite">
    <w:name w:val="HTML Cite"/>
    <w:basedOn w:val="DefaultParagraphFont"/>
    <w:rsid w:val="000B7E73"/>
    <w:rPr>
      <w:i/>
      <w:iCs/>
      <w:lang w:val="en-GB"/>
    </w:rPr>
  </w:style>
  <w:style w:type="character" w:styleId="HTMLCode">
    <w:name w:val="HTML Code"/>
    <w:basedOn w:val="DefaultParagraphFont"/>
    <w:rsid w:val="000B7E73"/>
    <w:rPr>
      <w:rFonts w:ascii="Consolas" w:hAnsi="Consolas"/>
      <w:sz w:val="20"/>
      <w:szCs w:val="20"/>
      <w:lang w:val="en-GB"/>
    </w:rPr>
  </w:style>
  <w:style w:type="character" w:styleId="HTMLDefinition">
    <w:name w:val="HTML Definition"/>
    <w:basedOn w:val="DefaultParagraphFont"/>
    <w:rsid w:val="000B7E73"/>
    <w:rPr>
      <w:i/>
      <w:iCs/>
      <w:lang w:val="en-GB"/>
    </w:rPr>
  </w:style>
  <w:style w:type="character" w:styleId="HTMLKeyboard">
    <w:name w:val="HTML Keyboard"/>
    <w:basedOn w:val="DefaultParagraphFont"/>
    <w:rsid w:val="000B7E73"/>
    <w:rPr>
      <w:rFonts w:ascii="Consolas" w:hAnsi="Consolas"/>
      <w:sz w:val="20"/>
      <w:szCs w:val="20"/>
      <w:lang w:val="en-GB"/>
    </w:rPr>
  </w:style>
  <w:style w:type="paragraph" w:styleId="HTMLPreformatted">
    <w:name w:val="HTML Preformatted"/>
    <w:basedOn w:val="Normal"/>
    <w:link w:val="HTMLPreformattedChar"/>
    <w:rsid w:val="000B7E73"/>
    <w:rPr>
      <w:rFonts w:ascii="Consolas" w:hAnsi="Consolas"/>
    </w:rPr>
  </w:style>
  <w:style w:type="character" w:customStyle="1" w:styleId="HTMLPreformattedChar">
    <w:name w:val="HTML Preformatted Char"/>
    <w:basedOn w:val="DefaultParagraphFont"/>
    <w:link w:val="HTMLPreformatted"/>
    <w:rsid w:val="000B7E73"/>
    <w:rPr>
      <w:rFonts w:ascii="Consolas" w:hAnsi="Consolas"/>
      <w:lang w:val="en-GB"/>
    </w:rPr>
  </w:style>
  <w:style w:type="character" w:styleId="HTMLSample">
    <w:name w:val="HTML Sample"/>
    <w:basedOn w:val="DefaultParagraphFont"/>
    <w:rsid w:val="000B7E73"/>
    <w:rPr>
      <w:rFonts w:ascii="Consolas" w:hAnsi="Consolas"/>
      <w:sz w:val="24"/>
      <w:szCs w:val="24"/>
      <w:lang w:val="en-GB"/>
    </w:rPr>
  </w:style>
  <w:style w:type="character" w:styleId="HTMLTypewriter">
    <w:name w:val="HTML Typewriter"/>
    <w:basedOn w:val="DefaultParagraphFont"/>
    <w:rsid w:val="000B7E73"/>
    <w:rPr>
      <w:rFonts w:ascii="Consolas" w:hAnsi="Consolas"/>
      <w:sz w:val="20"/>
      <w:szCs w:val="20"/>
      <w:lang w:val="en-GB"/>
    </w:rPr>
  </w:style>
  <w:style w:type="character" w:styleId="HTMLVariable">
    <w:name w:val="HTML Variable"/>
    <w:basedOn w:val="DefaultParagraphFont"/>
    <w:rsid w:val="000B7E73"/>
    <w:rPr>
      <w:i/>
      <w:iCs/>
      <w:lang w:val="en-GB"/>
    </w:rPr>
  </w:style>
  <w:style w:type="character" w:styleId="Hyperlink">
    <w:name w:val="Hyperlink"/>
    <w:basedOn w:val="DefaultParagraphFont"/>
    <w:uiPriority w:val="99"/>
    <w:rsid w:val="000B7E73"/>
    <w:rPr>
      <w:color w:val="0A2FB5" w:themeColor="hyperlink"/>
      <w:u w:val="single"/>
      <w:lang w:val="en-GB"/>
    </w:rPr>
  </w:style>
  <w:style w:type="paragraph" w:styleId="Index1">
    <w:name w:val="index 1"/>
    <w:basedOn w:val="Normal"/>
    <w:next w:val="Normal"/>
    <w:autoRedefine/>
    <w:rsid w:val="000B7E73"/>
    <w:pPr>
      <w:ind w:left="240" w:hanging="240"/>
    </w:pPr>
  </w:style>
  <w:style w:type="paragraph" w:styleId="Index2">
    <w:name w:val="index 2"/>
    <w:basedOn w:val="Normal"/>
    <w:next w:val="Normal"/>
    <w:autoRedefine/>
    <w:rsid w:val="000B7E73"/>
    <w:pPr>
      <w:ind w:left="480" w:hanging="240"/>
    </w:pPr>
  </w:style>
  <w:style w:type="paragraph" w:styleId="Index3">
    <w:name w:val="index 3"/>
    <w:basedOn w:val="Normal"/>
    <w:next w:val="Normal"/>
    <w:autoRedefine/>
    <w:rsid w:val="000B7E73"/>
    <w:pPr>
      <w:ind w:left="720" w:hanging="240"/>
    </w:pPr>
  </w:style>
  <w:style w:type="paragraph" w:styleId="Index4">
    <w:name w:val="index 4"/>
    <w:basedOn w:val="Normal"/>
    <w:next w:val="Normal"/>
    <w:autoRedefine/>
    <w:rsid w:val="000B7E73"/>
    <w:pPr>
      <w:ind w:left="960" w:hanging="240"/>
    </w:pPr>
  </w:style>
  <w:style w:type="paragraph" w:styleId="Index5">
    <w:name w:val="index 5"/>
    <w:basedOn w:val="Normal"/>
    <w:next w:val="Normal"/>
    <w:autoRedefine/>
    <w:rsid w:val="000B7E73"/>
    <w:pPr>
      <w:ind w:left="1200" w:hanging="240"/>
    </w:pPr>
  </w:style>
  <w:style w:type="paragraph" w:styleId="Index6">
    <w:name w:val="index 6"/>
    <w:basedOn w:val="Normal"/>
    <w:next w:val="Normal"/>
    <w:autoRedefine/>
    <w:rsid w:val="000B7E73"/>
    <w:pPr>
      <w:ind w:left="1440" w:hanging="240"/>
    </w:pPr>
  </w:style>
  <w:style w:type="paragraph" w:styleId="Index7">
    <w:name w:val="index 7"/>
    <w:basedOn w:val="Normal"/>
    <w:next w:val="Normal"/>
    <w:autoRedefine/>
    <w:rsid w:val="000B7E73"/>
    <w:pPr>
      <w:ind w:left="1680" w:hanging="240"/>
    </w:pPr>
  </w:style>
  <w:style w:type="paragraph" w:styleId="Index8">
    <w:name w:val="index 8"/>
    <w:basedOn w:val="Normal"/>
    <w:next w:val="Normal"/>
    <w:autoRedefine/>
    <w:rsid w:val="000B7E73"/>
    <w:pPr>
      <w:ind w:left="1920" w:hanging="240"/>
    </w:pPr>
  </w:style>
  <w:style w:type="paragraph" w:styleId="Index9">
    <w:name w:val="index 9"/>
    <w:basedOn w:val="Normal"/>
    <w:next w:val="Normal"/>
    <w:autoRedefine/>
    <w:rsid w:val="000B7E73"/>
    <w:pPr>
      <w:ind w:left="2160" w:hanging="240"/>
    </w:pPr>
  </w:style>
  <w:style w:type="paragraph" w:styleId="IndexHeading">
    <w:name w:val="index heading"/>
    <w:basedOn w:val="Normal"/>
    <w:next w:val="Index1"/>
    <w:rsid w:val="000B7E73"/>
    <w:rPr>
      <w:rFonts w:asciiTheme="majorHAnsi" w:eastAsiaTheme="majorEastAsia" w:hAnsiTheme="majorHAnsi" w:cstheme="majorBidi"/>
      <w:b/>
      <w:bCs/>
    </w:rPr>
  </w:style>
  <w:style w:type="character" w:styleId="IntenseEmphasis">
    <w:name w:val="Intense Emphasis"/>
    <w:basedOn w:val="DefaultParagraphFont"/>
    <w:uiPriority w:val="21"/>
    <w:rsid w:val="000B7E73"/>
    <w:rPr>
      <w:b/>
      <w:bCs/>
      <w:i/>
      <w:iCs/>
      <w:color w:val="0A2FB5" w:themeColor="accent1"/>
      <w:lang w:val="en-GB"/>
    </w:rPr>
  </w:style>
  <w:style w:type="paragraph" w:styleId="IntenseQuote">
    <w:name w:val="Intense Quote"/>
    <w:basedOn w:val="Normal"/>
    <w:next w:val="Normal"/>
    <w:link w:val="IntenseQuoteChar"/>
    <w:uiPriority w:val="30"/>
    <w:rsid w:val="000B7E73"/>
    <w:pPr>
      <w:pBdr>
        <w:bottom w:val="single" w:sz="4" w:space="4" w:color="0A2FB5" w:themeColor="accent1"/>
      </w:pBdr>
      <w:spacing w:before="200" w:after="280"/>
      <w:ind w:left="936" w:right="936"/>
    </w:pPr>
    <w:rPr>
      <w:b/>
      <w:bCs/>
      <w:i/>
      <w:iCs/>
      <w:color w:val="0A2FB5" w:themeColor="accent1"/>
    </w:rPr>
  </w:style>
  <w:style w:type="character" w:customStyle="1" w:styleId="IntenseQuoteChar">
    <w:name w:val="Intense Quote Char"/>
    <w:basedOn w:val="DefaultParagraphFont"/>
    <w:link w:val="IntenseQuote"/>
    <w:uiPriority w:val="30"/>
    <w:rsid w:val="000B7E73"/>
    <w:rPr>
      <w:b/>
      <w:bCs/>
      <w:i/>
      <w:iCs/>
      <w:color w:val="0A2FB5" w:themeColor="accent1"/>
      <w:sz w:val="24"/>
      <w:szCs w:val="24"/>
      <w:lang w:val="en-GB"/>
    </w:rPr>
  </w:style>
  <w:style w:type="character" w:styleId="IntenseReference">
    <w:name w:val="Intense Reference"/>
    <w:basedOn w:val="DefaultParagraphFont"/>
    <w:uiPriority w:val="32"/>
    <w:rsid w:val="000B7E73"/>
    <w:rPr>
      <w:b/>
      <w:bCs/>
      <w:smallCaps/>
      <w:color w:val="4A0080" w:themeColor="accent2"/>
      <w:spacing w:val="5"/>
      <w:u w:val="single"/>
      <w:lang w:val="en-GB"/>
    </w:rPr>
  </w:style>
  <w:style w:type="table" w:customStyle="1" w:styleId="LightGrid1">
    <w:name w:val="Light Grid1"/>
    <w:basedOn w:val="TableNormal"/>
    <w:uiPriority w:val="62"/>
    <w:rsid w:val="000B7E7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0B7E73"/>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insideH w:val="single" w:sz="8" w:space="0" w:color="0A2FB5" w:themeColor="accent1"/>
        <w:insideV w:val="single" w:sz="8" w:space="0" w:color="0A2FB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A2FB5" w:themeColor="accent1"/>
          <w:left w:val="single" w:sz="8" w:space="0" w:color="0A2FB5" w:themeColor="accent1"/>
          <w:bottom w:val="single" w:sz="18" w:space="0" w:color="0A2FB5" w:themeColor="accent1"/>
          <w:right w:val="single" w:sz="8" w:space="0" w:color="0A2FB5" w:themeColor="accent1"/>
          <w:insideH w:val="nil"/>
          <w:insideV w:val="single" w:sz="8" w:space="0" w:color="0A2FB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A2FB5" w:themeColor="accent1"/>
          <w:left w:val="single" w:sz="8" w:space="0" w:color="0A2FB5" w:themeColor="accent1"/>
          <w:bottom w:val="single" w:sz="8" w:space="0" w:color="0A2FB5" w:themeColor="accent1"/>
          <w:right w:val="single" w:sz="8" w:space="0" w:color="0A2FB5" w:themeColor="accent1"/>
          <w:insideH w:val="nil"/>
          <w:insideV w:val="single" w:sz="8" w:space="0" w:color="0A2FB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tcPr>
    </w:tblStylePr>
    <w:tblStylePr w:type="band1Vert">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shd w:val="clear" w:color="auto" w:fill="B4C3FB" w:themeFill="accent1" w:themeFillTint="3F"/>
      </w:tcPr>
    </w:tblStylePr>
    <w:tblStylePr w:type="band1Horz">
      <w:tblPr/>
      <w:tcPr>
        <w:tcBorders>
          <w:top w:val="single" w:sz="8" w:space="0" w:color="0A2FB5" w:themeColor="accent1"/>
          <w:left w:val="single" w:sz="8" w:space="0" w:color="0A2FB5" w:themeColor="accent1"/>
          <w:bottom w:val="single" w:sz="8" w:space="0" w:color="0A2FB5" w:themeColor="accent1"/>
          <w:right w:val="single" w:sz="8" w:space="0" w:color="0A2FB5" w:themeColor="accent1"/>
          <w:insideV w:val="single" w:sz="8" w:space="0" w:color="0A2FB5" w:themeColor="accent1"/>
        </w:tcBorders>
        <w:shd w:val="clear" w:color="auto" w:fill="B4C3FB" w:themeFill="accent1" w:themeFillTint="3F"/>
      </w:tcPr>
    </w:tblStylePr>
    <w:tblStylePr w:type="band2Horz">
      <w:tblPr/>
      <w:tcPr>
        <w:tcBorders>
          <w:top w:val="single" w:sz="8" w:space="0" w:color="0A2FB5" w:themeColor="accent1"/>
          <w:left w:val="single" w:sz="8" w:space="0" w:color="0A2FB5" w:themeColor="accent1"/>
          <w:bottom w:val="single" w:sz="8" w:space="0" w:color="0A2FB5" w:themeColor="accent1"/>
          <w:right w:val="single" w:sz="8" w:space="0" w:color="0A2FB5" w:themeColor="accent1"/>
          <w:insideV w:val="single" w:sz="8" w:space="0" w:color="0A2FB5" w:themeColor="accent1"/>
        </w:tcBorders>
      </w:tcPr>
    </w:tblStylePr>
  </w:style>
  <w:style w:type="table" w:styleId="LightGrid-Accent2">
    <w:name w:val="Light Grid Accent 2"/>
    <w:basedOn w:val="TableNormal"/>
    <w:uiPriority w:val="62"/>
    <w:rsid w:val="000B7E73"/>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insideH w:val="single" w:sz="8" w:space="0" w:color="4A0080" w:themeColor="accent2"/>
        <w:insideV w:val="single" w:sz="8" w:space="0" w:color="4A008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A0080" w:themeColor="accent2"/>
          <w:left w:val="single" w:sz="8" w:space="0" w:color="4A0080" w:themeColor="accent2"/>
          <w:bottom w:val="single" w:sz="18" w:space="0" w:color="4A0080" w:themeColor="accent2"/>
          <w:right w:val="single" w:sz="8" w:space="0" w:color="4A0080" w:themeColor="accent2"/>
          <w:insideH w:val="nil"/>
          <w:insideV w:val="single" w:sz="8" w:space="0" w:color="4A008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A0080" w:themeColor="accent2"/>
          <w:left w:val="single" w:sz="8" w:space="0" w:color="4A0080" w:themeColor="accent2"/>
          <w:bottom w:val="single" w:sz="8" w:space="0" w:color="4A0080" w:themeColor="accent2"/>
          <w:right w:val="single" w:sz="8" w:space="0" w:color="4A0080" w:themeColor="accent2"/>
          <w:insideH w:val="nil"/>
          <w:insideV w:val="single" w:sz="8" w:space="0" w:color="4A008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tcPr>
    </w:tblStylePr>
    <w:tblStylePr w:type="band1Vert">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shd w:val="clear" w:color="auto" w:fill="D6A0FF" w:themeFill="accent2" w:themeFillTint="3F"/>
      </w:tcPr>
    </w:tblStylePr>
    <w:tblStylePr w:type="band1Horz">
      <w:tblPr/>
      <w:tcPr>
        <w:tcBorders>
          <w:top w:val="single" w:sz="8" w:space="0" w:color="4A0080" w:themeColor="accent2"/>
          <w:left w:val="single" w:sz="8" w:space="0" w:color="4A0080" w:themeColor="accent2"/>
          <w:bottom w:val="single" w:sz="8" w:space="0" w:color="4A0080" w:themeColor="accent2"/>
          <w:right w:val="single" w:sz="8" w:space="0" w:color="4A0080" w:themeColor="accent2"/>
          <w:insideV w:val="single" w:sz="8" w:space="0" w:color="4A0080" w:themeColor="accent2"/>
        </w:tcBorders>
        <w:shd w:val="clear" w:color="auto" w:fill="D6A0FF" w:themeFill="accent2" w:themeFillTint="3F"/>
      </w:tcPr>
    </w:tblStylePr>
    <w:tblStylePr w:type="band2Horz">
      <w:tblPr/>
      <w:tcPr>
        <w:tcBorders>
          <w:top w:val="single" w:sz="8" w:space="0" w:color="4A0080" w:themeColor="accent2"/>
          <w:left w:val="single" w:sz="8" w:space="0" w:color="4A0080" w:themeColor="accent2"/>
          <w:bottom w:val="single" w:sz="8" w:space="0" w:color="4A0080" w:themeColor="accent2"/>
          <w:right w:val="single" w:sz="8" w:space="0" w:color="4A0080" w:themeColor="accent2"/>
          <w:insideV w:val="single" w:sz="8" w:space="0" w:color="4A0080" w:themeColor="accent2"/>
        </w:tcBorders>
      </w:tcPr>
    </w:tblStylePr>
  </w:style>
  <w:style w:type="table" w:styleId="LightGrid-Accent3">
    <w:name w:val="Light Grid Accent 3"/>
    <w:basedOn w:val="TableNormal"/>
    <w:uiPriority w:val="62"/>
    <w:rsid w:val="000B7E73"/>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insideH w:val="single" w:sz="8" w:space="0" w:color="117C96" w:themeColor="accent3"/>
        <w:insideV w:val="single" w:sz="8" w:space="0" w:color="117C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17C96" w:themeColor="accent3"/>
          <w:left w:val="single" w:sz="8" w:space="0" w:color="117C96" w:themeColor="accent3"/>
          <w:bottom w:val="single" w:sz="18" w:space="0" w:color="117C96" w:themeColor="accent3"/>
          <w:right w:val="single" w:sz="8" w:space="0" w:color="117C96" w:themeColor="accent3"/>
          <w:insideH w:val="nil"/>
          <w:insideV w:val="single" w:sz="8" w:space="0" w:color="117C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17C96" w:themeColor="accent3"/>
          <w:left w:val="single" w:sz="8" w:space="0" w:color="117C96" w:themeColor="accent3"/>
          <w:bottom w:val="single" w:sz="8" w:space="0" w:color="117C96" w:themeColor="accent3"/>
          <w:right w:val="single" w:sz="8" w:space="0" w:color="117C96" w:themeColor="accent3"/>
          <w:insideH w:val="nil"/>
          <w:insideV w:val="single" w:sz="8" w:space="0" w:color="117C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tcPr>
    </w:tblStylePr>
    <w:tblStylePr w:type="band1Vert">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shd w:val="clear" w:color="auto" w:fill="B2E9F6" w:themeFill="accent3" w:themeFillTint="3F"/>
      </w:tcPr>
    </w:tblStylePr>
    <w:tblStylePr w:type="band1Horz">
      <w:tblPr/>
      <w:tcPr>
        <w:tcBorders>
          <w:top w:val="single" w:sz="8" w:space="0" w:color="117C96" w:themeColor="accent3"/>
          <w:left w:val="single" w:sz="8" w:space="0" w:color="117C96" w:themeColor="accent3"/>
          <w:bottom w:val="single" w:sz="8" w:space="0" w:color="117C96" w:themeColor="accent3"/>
          <w:right w:val="single" w:sz="8" w:space="0" w:color="117C96" w:themeColor="accent3"/>
          <w:insideV w:val="single" w:sz="8" w:space="0" w:color="117C96" w:themeColor="accent3"/>
        </w:tcBorders>
        <w:shd w:val="clear" w:color="auto" w:fill="B2E9F6" w:themeFill="accent3" w:themeFillTint="3F"/>
      </w:tcPr>
    </w:tblStylePr>
    <w:tblStylePr w:type="band2Horz">
      <w:tblPr/>
      <w:tcPr>
        <w:tcBorders>
          <w:top w:val="single" w:sz="8" w:space="0" w:color="117C96" w:themeColor="accent3"/>
          <w:left w:val="single" w:sz="8" w:space="0" w:color="117C96" w:themeColor="accent3"/>
          <w:bottom w:val="single" w:sz="8" w:space="0" w:color="117C96" w:themeColor="accent3"/>
          <w:right w:val="single" w:sz="8" w:space="0" w:color="117C96" w:themeColor="accent3"/>
          <w:insideV w:val="single" w:sz="8" w:space="0" w:color="117C96" w:themeColor="accent3"/>
        </w:tcBorders>
      </w:tcPr>
    </w:tblStylePr>
  </w:style>
  <w:style w:type="table" w:styleId="LightGrid-Accent4">
    <w:name w:val="Light Grid Accent 4"/>
    <w:basedOn w:val="TableNormal"/>
    <w:uiPriority w:val="62"/>
    <w:rsid w:val="000B7E73"/>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insideH w:val="single" w:sz="8" w:space="0" w:color="990C47" w:themeColor="accent4"/>
        <w:insideV w:val="single" w:sz="8" w:space="0" w:color="990C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90C47" w:themeColor="accent4"/>
          <w:left w:val="single" w:sz="8" w:space="0" w:color="990C47" w:themeColor="accent4"/>
          <w:bottom w:val="single" w:sz="18" w:space="0" w:color="990C47" w:themeColor="accent4"/>
          <w:right w:val="single" w:sz="8" w:space="0" w:color="990C47" w:themeColor="accent4"/>
          <w:insideH w:val="nil"/>
          <w:insideV w:val="single" w:sz="8" w:space="0" w:color="990C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90C47" w:themeColor="accent4"/>
          <w:left w:val="single" w:sz="8" w:space="0" w:color="990C47" w:themeColor="accent4"/>
          <w:bottom w:val="single" w:sz="8" w:space="0" w:color="990C47" w:themeColor="accent4"/>
          <w:right w:val="single" w:sz="8" w:space="0" w:color="990C47" w:themeColor="accent4"/>
          <w:insideH w:val="nil"/>
          <w:insideV w:val="single" w:sz="8" w:space="0" w:color="990C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tcPr>
    </w:tblStylePr>
    <w:tblStylePr w:type="band1Vert">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shd w:val="clear" w:color="auto" w:fill="F8AFCE" w:themeFill="accent4" w:themeFillTint="3F"/>
      </w:tcPr>
    </w:tblStylePr>
    <w:tblStylePr w:type="band1Horz">
      <w:tblPr/>
      <w:tcPr>
        <w:tcBorders>
          <w:top w:val="single" w:sz="8" w:space="0" w:color="990C47" w:themeColor="accent4"/>
          <w:left w:val="single" w:sz="8" w:space="0" w:color="990C47" w:themeColor="accent4"/>
          <w:bottom w:val="single" w:sz="8" w:space="0" w:color="990C47" w:themeColor="accent4"/>
          <w:right w:val="single" w:sz="8" w:space="0" w:color="990C47" w:themeColor="accent4"/>
          <w:insideV w:val="single" w:sz="8" w:space="0" w:color="990C47" w:themeColor="accent4"/>
        </w:tcBorders>
        <w:shd w:val="clear" w:color="auto" w:fill="F8AFCE" w:themeFill="accent4" w:themeFillTint="3F"/>
      </w:tcPr>
    </w:tblStylePr>
    <w:tblStylePr w:type="band2Horz">
      <w:tblPr/>
      <w:tcPr>
        <w:tcBorders>
          <w:top w:val="single" w:sz="8" w:space="0" w:color="990C47" w:themeColor="accent4"/>
          <w:left w:val="single" w:sz="8" w:space="0" w:color="990C47" w:themeColor="accent4"/>
          <w:bottom w:val="single" w:sz="8" w:space="0" w:color="990C47" w:themeColor="accent4"/>
          <w:right w:val="single" w:sz="8" w:space="0" w:color="990C47" w:themeColor="accent4"/>
          <w:insideV w:val="single" w:sz="8" w:space="0" w:color="990C47" w:themeColor="accent4"/>
        </w:tcBorders>
      </w:tcPr>
    </w:tblStylePr>
  </w:style>
  <w:style w:type="table" w:styleId="LightGrid-Accent5">
    <w:name w:val="Light Grid Accent 5"/>
    <w:basedOn w:val="TableNormal"/>
    <w:uiPriority w:val="62"/>
    <w:rsid w:val="000B7E73"/>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insideH w:val="single" w:sz="8" w:space="0" w:color="959392" w:themeColor="accent5"/>
        <w:insideV w:val="single" w:sz="8" w:space="0" w:color="95939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59392" w:themeColor="accent5"/>
          <w:left w:val="single" w:sz="8" w:space="0" w:color="959392" w:themeColor="accent5"/>
          <w:bottom w:val="single" w:sz="18" w:space="0" w:color="959392" w:themeColor="accent5"/>
          <w:right w:val="single" w:sz="8" w:space="0" w:color="959392" w:themeColor="accent5"/>
          <w:insideH w:val="nil"/>
          <w:insideV w:val="single" w:sz="8" w:space="0" w:color="95939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59392" w:themeColor="accent5"/>
          <w:left w:val="single" w:sz="8" w:space="0" w:color="959392" w:themeColor="accent5"/>
          <w:bottom w:val="single" w:sz="8" w:space="0" w:color="959392" w:themeColor="accent5"/>
          <w:right w:val="single" w:sz="8" w:space="0" w:color="959392" w:themeColor="accent5"/>
          <w:insideH w:val="nil"/>
          <w:insideV w:val="single" w:sz="8" w:space="0" w:color="95939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tcPr>
    </w:tblStylePr>
    <w:tblStylePr w:type="band1Vert">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shd w:val="clear" w:color="auto" w:fill="E4E4E3" w:themeFill="accent5" w:themeFillTint="3F"/>
      </w:tcPr>
    </w:tblStylePr>
    <w:tblStylePr w:type="band1Horz">
      <w:tblPr/>
      <w:tcPr>
        <w:tcBorders>
          <w:top w:val="single" w:sz="8" w:space="0" w:color="959392" w:themeColor="accent5"/>
          <w:left w:val="single" w:sz="8" w:space="0" w:color="959392" w:themeColor="accent5"/>
          <w:bottom w:val="single" w:sz="8" w:space="0" w:color="959392" w:themeColor="accent5"/>
          <w:right w:val="single" w:sz="8" w:space="0" w:color="959392" w:themeColor="accent5"/>
          <w:insideV w:val="single" w:sz="8" w:space="0" w:color="959392" w:themeColor="accent5"/>
        </w:tcBorders>
        <w:shd w:val="clear" w:color="auto" w:fill="E4E4E3" w:themeFill="accent5" w:themeFillTint="3F"/>
      </w:tcPr>
    </w:tblStylePr>
    <w:tblStylePr w:type="band2Horz">
      <w:tblPr/>
      <w:tcPr>
        <w:tcBorders>
          <w:top w:val="single" w:sz="8" w:space="0" w:color="959392" w:themeColor="accent5"/>
          <w:left w:val="single" w:sz="8" w:space="0" w:color="959392" w:themeColor="accent5"/>
          <w:bottom w:val="single" w:sz="8" w:space="0" w:color="959392" w:themeColor="accent5"/>
          <w:right w:val="single" w:sz="8" w:space="0" w:color="959392" w:themeColor="accent5"/>
          <w:insideV w:val="single" w:sz="8" w:space="0" w:color="959392" w:themeColor="accent5"/>
        </w:tcBorders>
      </w:tcPr>
    </w:tblStylePr>
  </w:style>
  <w:style w:type="table" w:styleId="LightGrid-Accent6">
    <w:name w:val="Light Grid Accent 6"/>
    <w:basedOn w:val="TableNormal"/>
    <w:uiPriority w:val="62"/>
    <w:rsid w:val="000B7E73"/>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insideH w:val="single" w:sz="8" w:space="0" w:color="585656" w:themeColor="accent6"/>
        <w:insideV w:val="single" w:sz="8" w:space="0" w:color="58565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5656" w:themeColor="accent6"/>
          <w:left w:val="single" w:sz="8" w:space="0" w:color="585656" w:themeColor="accent6"/>
          <w:bottom w:val="single" w:sz="18" w:space="0" w:color="585656" w:themeColor="accent6"/>
          <w:right w:val="single" w:sz="8" w:space="0" w:color="585656" w:themeColor="accent6"/>
          <w:insideH w:val="nil"/>
          <w:insideV w:val="single" w:sz="8" w:space="0" w:color="58565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5656" w:themeColor="accent6"/>
          <w:left w:val="single" w:sz="8" w:space="0" w:color="585656" w:themeColor="accent6"/>
          <w:bottom w:val="single" w:sz="8" w:space="0" w:color="585656" w:themeColor="accent6"/>
          <w:right w:val="single" w:sz="8" w:space="0" w:color="585656" w:themeColor="accent6"/>
          <w:insideH w:val="nil"/>
          <w:insideV w:val="single" w:sz="8" w:space="0" w:color="58565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tcPr>
    </w:tblStylePr>
    <w:tblStylePr w:type="band1Vert">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shd w:val="clear" w:color="auto" w:fill="D5D4D4" w:themeFill="accent6" w:themeFillTint="3F"/>
      </w:tcPr>
    </w:tblStylePr>
    <w:tblStylePr w:type="band1Horz">
      <w:tblPr/>
      <w:tcPr>
        <w:tcBorders>
          <w:top w:val="single" w:sz="8" w:space="0" w:color="585656" w:themeColor="accent6"/>
          <w:left w:val="single" w:sz="8" w:space="0" w:color="585656" w:themeColor="accent6"/>
          <w:bottom w:val="single" w:sz="8" w:space="0" w:color="585656" w:themeColor="accent6"/>
          <w:right w:val="single" w:sz="8" w:space="0" w:color="585656" w:themeColor="accent6"/>
          <w:insideV w:val="single" w:sz="8" w:space="0" w:color="585656" w:themeColor="accent6"/>
        </w:tcBorders>
        <w:shd w:val="clear" w:color="auto" w:fill="D5D4D4" w:themeFill="accent6" w:themeFillTint="3F"/>
      </w:tcPr>
    </w:tblStylePr>
    <w:tblStylePr w:type="band2Horz">
      <w:tblPr/>
      <w:tcPr>
        <w:tcBorders>
          <w:top w:val="single" w:sz="8" w:space="0" w:color="585656" w:themeColor="accent6"/>
          <w:left w:val="single" w:sz="8" w:space="0" w:color="585656" w:themeColor="accent6"/>
          <w:bottom w:val="single" w:sz="8" w:space="0" w:color="585656" w:themeColor="accent6"/>
          <w:right w:val="single" w:sz="8" w:space="0" w:color="585656" w:themeColor="accent6"/>
          <w:insideV w:val="single" w:sz="8" w:space="0" w:color="585656" w:themeColor="accent6"/>
        </w:tcBorders>
      </w:tcPr>
    </w:tblStylePr>
  </w:style>
  <w:style w:type="table" w:customStyle="1" w:styleId="LightList1">
    <w:name w:val="Light List1"/>
    <w:basedOn w:val="TableNormal"/>
    <w:uiPriority w:val="61"/>
    <w:rsid w:val="000B7E7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0B7E73"/>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tblBorders>
    </w:tblPr>
    <w:tblStylePr w:type="firstRow">
      <w:pPr>
        <w:spacing w:before="0" w:after="0" w:line="240" w:lineRule="auto"/>
      </w:pPr>
      <w:rPr>
        <w:b/>
        <w:bCs/>
        <w:color w:val="FFFFFF" w:themeColor="background1"/>
      </w:rPr>
      <w:tblPr/>
      <w:tcPr>
        <w:shd w:val="clear" w:color="auto" w:fill="0A2FB5" w:themeFill="accent1"/>
      </w:tcPr>
    </w:tblStylePr>
    <w:tblStylePr w:type="lastRow">
      <w:pPr>
        <w:spacing w:before="0" w:after="0" w:line="240" w:lineRule="auto"/>
      </w:pPr>
      <w:rPr>
        <w:b/>
        <w:bCs/>
      </w:rPr>
      <w:tblPr/>
      <w:tcPr>
        <w:tcBorders>
          <w:top w:val="double" w:sz="6" w:space="0" w:color="0A2FB5" w:themeColor="accent1"/>
          <w:left w:val="single" w:sz="8" w:space="0" w:color="0A2FB5" w:themeColor="accent1"/>
          <w:bottom w:val="single" w:sz="8" w:space="0" w:color="0A2FB5" w:themeColor="accent1"/>
          <w:right w:val="single" w:sz="8" w:space="0" w:color="0A2FB5" w:themeColor="accent1"/>
        </w:tcBorders>
      </w:tcPr>
    </w:tblStylePr>
    <w:tblStylePr w:type="firstCol">
      <w:rPr>
        <w:b/>
        <w:bCs/>
      </w:rPr>
    </w:tblStylePr>
    <w:tblStylePr w:type="lastCol">
      <w:rPr>
        <w:b/>
        <w:bCs/>
      </w:rPr>
    </w:tblStylePr>
    <w:tblStylePr w:type="band1Vert">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tcPr>
    </w:tblStylePr>
    <w:tblStylePr w:type="band1Horz">
      <w:tblPr/>
      <w:tcPr>
        <w:tcBorders>
          <w:top w:val="single" w:sz="8" w:space="0" w:color="0A2FB5" w:themeColor="accent1"/>
          <w:left w:val="single" w:sz="8" w:space="0" w:color="0A2FB5" w:themeColor="accent1"/>
          <w:bottom w:val="single" w:sz="8" w:space="0" w:color="0A2FB5" w:themeColor="accent1"/>
          <w:right w:val="single" w:sz="8" w:space="0" w:color="0A2FB5" w:themeColor="accent1"/>
        </w:tcBorders>
      </w:tcPr>
    </w:tblStylePr>
  </w:style>
  <w:style w:type="table" w:styleId="LightList-Accent2">
    <w:name w:val="Light List Accent 2"/>
    <w:basedOn w:val="TableNormal"/>
    <w:uiPriority w:val="61"/>
    <w:rsid w:val="000B7E73"/>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tblBorders>
    </w:tblPr>
    <w:tblStylePr w:type="firstRow">
      <w:pPr>
        <w:spacing w:before="0" w:after="0" w:line="240" w:lineRule="auto"/>
      </w:pPr>
      <w:rPr>
        <w:b/>
        <w:bCs/>
        <w:color w:val="FFFFFF" w:themeColor="background1"/>
      </w:rPr>
      <w:tblPr/>
      <w:tcPr>
        <w:shd w:val="clear" w:color="auto" w:fill="4A0080" w:themeFill="accent2"/>
      </w:tcPr>
    </w:tblStylePr>
    <w:tblStylePr w:type="lastRow">
      <w:pPr>
        <w:spacing w:before="0" w:after="0" w:line="240" w:lineRule="auto"/>
      </w:pPr>
      <w:rPr>
        <w:b/>
        <w:bCs/>
      </w:rPr>
      <w:tblPr/>
      <w:tcPr>
        <w:tcBorders>
          <w:top w:val="double" w:sz="6" w:space="0" w:color="4A0080" w:themeColor="accent2"/>
          <w:left w:val="single" w:sz="8" w:space="0" w:color="4A0080" w:themeColor="accent2"/>
          <w:bottom w:val="single" w:sz="8" w:space="0" w:color="4A0080" w:themeColor="accent2"/>
          <w:right w:val="single" w:sz="8" w:space="0" w:color="4A0080" w:themeColor="accent2"/>
        </w:tcBorders>
      </w:tcPr>
    </w:tblStylePr>
    <w:tblStylePr w:type="firstCol">
      <w:rPr>
        <w:b/>
        <w:bCs/>
      </w:rPr>
    </w:tblStylePr>
    <w:tblStylePr w:type="lastCol">
      <w:rPr>
        <w:b/>
        <w:bCs/>
      </w:rPr>
    </w:tblStylePr>
    <w:tblStylePr w:type="band1Vert">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tcPr>
    </w:tblStylePr>
    <w:tblStylePr w:type="band1Horz">
      <w:tblPr/>
      <w:tcPr>
        <w:tcBorders>
          <w:top w:val="single" w:sz="8" w:space="0" w:color="4A0080" w:themeColor="accent2"/>
          <w:left w:val="single" w:sz="8" w:space="0" w:color="4A0080" w:themeColor="accent2"/>
          <w:bottom w:val="single" w:sz="8" w:space="0" w:color="4A0080" w:themeColor="accent2"/>
          <w:right w:val="single" w:sz="8" w:space="0" w:color="4A0080" w:themeColor="accent2"/>
        </w:tcBorders>
      </w:tcPr>
    </w:tblStylePr>
  </w:style>
  <w:style w:type="table" w:styleId="LightList-Accent3">
    <w:name w:val="Light List Accent 3"/>
    <w:basedOn w:val="TableNormal"/>
    <w:uiPriority w:val="61"/>
    <w:rsid w:val="000B7E73"/>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tblBorders>
    </w:tblPr>
    <w:tblStylePr w:type="firstRow">
      <w:pPr>
        <w:spacing w:before="0" w:after="0" w:line="240" w:lineRule="auto"/>
      </w:pPr>
      <w:rPr>
        <w:b/>
        <w:bCs/>
        <w:color w:val="FFFFFF" w:themeColor="background1"/>
      </w:rPr>
      <w:tblPr/>
      <w:tcPr>
        <w:shd w:val="clear" w:color="auto" w:fill="117C96" w:themeFill="accent3"/>
      </w:tcPr>
    </w:tblStylePr>
    <w:tblStylePr w:type="lastRow">
      <w:pPr>
        <w:spacing w:before="0" w:after="0" w:line="240" w:lineRule="auto"/>
      </w:pPr>
      <w:rPr>
        <w:b/>
        <w:bCs/>
      </w:rPr>
      <w:tblPr/>
      <w:tcPr>
        <w:tcBorders>
          <w:top w:val="double" w:sz="6" w:space="0" w:color="117C96" w:themeColor="accent3"/>
          <w:left w:val="single" w:sz="8" w:space="0" w:color="117C96" w:themeColor="accent3"/>
          <w:bottom w:val="single" w:sz="8" w:space="0" w:color="117C96" w:themeColor="accent3"/>
          <w:right w:val="single" w:sz="8" w:space="0" w:color="117C96" w:themeColor="accent3"/>
        </w:tcBorders>
      </w:tcPr>
    </w:tblStylePr>
    <w:tblStylePr w:type="firstCol">
      <w:rPr>
        <w:b/>
        <w:bCs/>
      </w:rPr>
    </w:tblStylePr>
    <w:tblStylePr w:type="lastCol">
      <w:rPr>
        <w:b/>
        <w:bCs/>
      </w:rPr>
    </w:tblStylePr>
    <w:tblStylePr w:type="band1Vert">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tcPr>
    </w:tblStylePr>
    <w:tblStylePr w:type="band1Horz">
      <w:tblPr/>
      <w:tcPr>
        <w:tcBorders>
          <w:top w:val="single" w:sz="8" w:space="0" w:color="117C96" w:themeColor="accent3"/>
          <w:left w:val="single" w:sz="8" w:space="0" w:color="117C96" w:themeColor="accent3"/>
          <w:bottom w:val="single" w:sz="8" w:space="0" w:color="117C96" w:themeColor="accent3"/>
          <w:right w:val="single" w:sz="8" w:space="0" w:color="117C96" w:themeColor="accent3"/>
        </w:tcBorders>
      </w:tcPr>
    </w:tblStylePr>
  </w:style>
  <w:style w:type="table" w:styleId="LightList-Accent4">
    <w:name w:val="Light List Accent 4"/>
    <w:basedOn w:val="TableNormal"/>
    <w:uiPriority w:val="61"/>
    <w:rsid w:val="000B7E73"/>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tblBorders>
    </w:tblPr>
    <w:tblStylePr w:type="firstRow">
      <w:pPr>
        <w:spacing w:before="0" w:after="0" w:line="240" w:lineRule="auto"/>
      </w:pPr>
      <w:rPr>
        <w:b/>
        <w:bCs/>
        <w:color w:val="FFFFFF" w:themeColor="background1"/>
      </w:rPr>
      <w:tblPr/>
      <w:tcPr>
        <w:shd w:val="clear" w:color="auto" w:fill="990C47" w:themeFill="accent4"/>
      </w:tcPr>
    </w:tblStylePr>
    <w:tblStylePr w:type="lastRow">
      <w:pPr>
        <w:spacing w:before="0" w:after="0" w:line="240" w:lineRule="auto"/>
      </w:pPr>
      <w:rPr>
        <w:b/>
        <w:bCs/>
      </w:rPr>
      <w:tblPr/>
      <w:tcPr>
        <w:tcBorders>
          <w:top w:val="double" w:sz="6" w:space="0" w:color="990C47" w:themeColor="accent4"/>
          <w:left w:val="single" w:sz="8" w:space="0" w:color="990C47" w:themeColor="accent4"/>
          <w:bottom w:val="single" w:sz="8" w:space="0" w:color="990C47" w:themeColor="accent4"/>
          <w:right w:val="single" w:sz="8" w:space="0" w:color="990C47" w:themeColor="accent4"/>
        </w:tcBorders>
      </w:tcPr>
    </w:tblStylePr>
    <w:tblStylePr w:type="firstCol">
      <w:rPr>
        <w:b/>
        <w:bCs/>
      </w:rPr>
    </w:tblStylePr>
    <w:tblStylePr w:type="lastCol">
      <w:rPr>
        <w:b/>
        <w:bCs/>
      </w:rPr>
    </w:tblStylePr>
    <w:tblStylePr w:type="band1Vert">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tcPr>
    </w:tblStylePr>
    <w:tblStylePr w:type="band1Horz">
      <w:tblPr/>
      <w:tcPr>
        <w:tcBorders>
          <w:top w:val="single" w:sz="8" w:space="0" w:color="990C47" w:themeColor="accent4"/>
          <w:left w:val="single" w:sz="8" w:space="0" w:color="990C47" w:themeColor="accent4"/>
          <w:bottom w:val="single" w:sz="8" w:space="0" w:color="990C47" w:themeColor="accent4"/>
          <w:right w:val="single" w:sz="8" w:space="0" w:color="990C47" w:themeColor="accent4"/>
        </w:tcBorders>
      </w:tcPr>
    </w:tblStylePr>
  </w:style>
  <w:style w:type="table" w:styleId="LightList-Accent5">
    <w:name w:val="Light List Accent 5"/>
    <w:basedOn w:val="TableNormal"/>
    <w:uiPriority w:val="61"/>
    <w:rsid w:val="000B7E73"/>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tblBorders>
    </w:tblPr>
    <w:tblStylePr w:type="firstRow">
      <w:pPr>
        <w:spacing w:before="0" w:after="0" w:line="240" w:lineRule="auto"/>
      </w:pPr>
      <w:rPr>
        <w:b/>
        <w:bCs/>
        <w:color w:val="FFFFFF" w:themeColor="background1"/>
      </w:rPr>
      <w:tblPr/>
      <w:tcPr>
        <w:shd w:val="clear" w:color="auto" w:fill="959392" w:themeFill="accent5"/>
      </w:tcPr>
    </w:tblStylePr>
    <w:tblStylePr w:type="lastRow">
      <w:pPr>
        <w:spacing w:before="0" w:after="0" w:line="240" w:lineRule="auto"/>
      </w:pPr>
      <w:rPr>
        <w:b/>
        <w:bCs/>
      </w:rPr>
      <w:tblPr/>
      <w:tcPr>
        <w:tcBorders>
          <w:top w:val="double" w:sz="6" w:space="0" w:color="959392" w:themeColor="accent5"/>
          <w:left w:val="single" w:sz="8" w:space="0" w:color="959392" w:themeColor="accent5"/>
          <w:bottom w:val="single" w:sz="8" w:space="0" w:color="959392" w:themeColor="accent5"/>
          <w:right w:val="single" w:sz="8" w:space="0" w:color="959392" w:themeColor="accent5"/>
        </w:tcBorders>
      </w:tcPr>
    </w:tblStylePr>
    <w:tblStylePr w:type="firstCol">
      <w:rPr>
        <w:b/>
        <w:bCs/>
      </w:rPr>
    </w:tblStylePr>
    <w:tblStylePr w:type="lastCol">
      <w:rPr>
        <w:b/>
        <w:bCs/>
      </w:rPr>
    </w:tblStylePr>
    <w:tblStylePr w:type="band1Vert">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tcPr>
    </w:tblStylePr>
    <w:tblStylePr w:type="band1Horz">
      <w:tblPr/>
      <w:tcPr>
        <w:tcBorders>
          <w:top w:val="single" w:sz="8" w:space="0" w:color="959392" w:themeColor="accent5"/>
          <w:left w:val="single" w:sz="8" w:space="0" w:color="959392" w:themeColor="accent5"/>
          <w:bottom w:val="single" w:sz="8" w:space="0" w:color="959392" w:themeColor="accent5"/>
          <w:right w:val="single" w:sz="8" w:space="0" w:color="959392" w:themeColor="accent5"/>
        </w:tcBorders>
      </w:tcPr>
    </w:tblStylePr>
  </w:style>
  <w:style w:type="table" w:styleId="LightList-Accent6">
    <w:name w:val="Light List Accent 6"/>
    <w:basedOn w:val="TableNormal"/>
    <w:uiPriority w:val="61"/>
    <w:rsid w:val="000B7E73"/>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tblBorders>
    </w:tblPr>
    <w:tblStylePr w:type="firstRow">
      <w:pPr>
        <w:spacing w:before="0" w:after="0" w:line="240" w:lineRule="auto"/>
      </w:pPr>
      <w:rPr>
        <w:b/>
        <w:bCs/>
        <w:color w:val="FFFFFF" w:themeColor="background1"/>
      </w:rPr>
      <w:tblPr/>
      <w:tcPr>
        <w:shd w:val="clear" w:color="auto" w:fill="585656" w:themeFill="accent6"/>
      </w:tcPr>
    </w:tblStylePr>
    <w:tblStylePr w:type="lastRow">
      <w:pPr>
        <w:spacing w:before="0" w:after="0" w:line="240" w:lineRule="auto"/>
      </w:pPr>
      <w:rPr>
        <w:b/>
        <w:bCs/>
      </w:rPr>
      <w:tblPr/>
      <w:tcPr>
        <w:tcBorders>
          <w:top w:val="double" w:sz="6" w:space="0" w:color="585656" w:themeColor="accent6"/>
          <w:left w:val="single" w:sz="8" w:space="0" w:color="585656" w:themeColor="accent6"/>
          <w:bottom w:val="single" w:sz="8" w:space="0" w:color="585656" w:themeColor="accent6"/>
          <w:right w:val="single" w:sz="8" w:space="0" w:color="585656" w:themeColor="accent6"/>
        </w:tcBorders>
      </w:tcPr>
    </w:tblStylePr>
    <w:tblStylePr w:type="firstCol">
      <w:rPr>
        <w:b/>
        <w:bCs/>
      </w:rPr>
    </w:tblStylePr>
    <w:tblStylePr w:type="lastCol">
      <w:rPr>
        <w:b/>
        <w:bCs/>
      </w:rPr>
    </w:tblStylePr>
    <w:tblStylePr w:type="band1Vert">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tcPr>
    </w:tblStylePr>
    <w:tblStylePr w:type="band1Horz">
      <w:tblPr/>
      <w:tcPr>
        <w:tcBorders>
          <w:top w:val="single" w:sz="8" w:space="0" w:color="585656" w:themeColor="accent6"/>
          <w:left w:val="single" w:sz="8" w:space="0" w:color="585656" w:themeColor="accent6"/>
          <w:bottom w:val="single" w:sz="8" w:space="0" w:color="585656" w:themeColor="accent6"/>
          <w:right w:val="single" w:sz="8" w:space="0" w:color="585656" w:themeColor="accent6"/>
        </w:tcBorders>
      </w:tcPr>
    </w:tblStylePr>
  </w:style>
  <w:style w:type="table" w:customStyle="1" w:styleId="LightShading1">
    <w:name w:val="Light Shading1"/>
    <w:basedOn w:val="TableNormal"/>
    <w:uiPriority w:val="60"/>
    <w:rsid w:val="000B7E7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B7E73"/>
    <w:rPr>
      <w:color w:val="072387" w:themeColor="accent1" w:themeShade="BF"/>
    </w:rPr>
    <w:tblPr>
      <w:tblStyleRowBandSize w:val="1"/>
      <w:tblStyleColBandSize w:val="1"/>
      <w:tblBorders>
        <w:top w:val="single" w:sz="8" w:space="0" w:color="0A2FB5" w:themeColor="accent1"/>
        <w:bottom w:val="single" w:sz="8" w:space="0" w:color="0A2FB5" w:themeColor="accent1"/>
      </w:tblBorders>
    </w:tblPr>
    <w:tblStylePr w:type="firstRow">
      <w:pPr>
        <w:spacing w:before="0" w:after="0" w:line="240" w:lineRule="auto"/>
      </w:pPr>
      <w:rPr>
        <w:b/>
        <w:bCs/>
      </w:rPr>
      <w:tblPr/>
      <w:tcPr>
        <w:tcBorders>
          <w:top w:val="single" w:sz="8" w:space="0" w:color="0A2FB5" w:themeColor="accent1"/>
          <w:left w:val="nil"/>
          <w:bottom w:val="single" w:sz="8" w:space="0" w:color="0A2FB5" w:themeColor="accent1"/>
          <w:right w:val="nil"/>
          <w:insideH w:val="nil"/>
          <w:insideV w:val="nil"/>
        </w:tcBorders>
      </w:tcPr>
    </w:tblStylePr>
    <w:tblStylePr w:type="lastRow">
      <w:pPr>
        <w:spacing w:before="0" w:after="0" w:line="240" w:lineRule="auto"/>
      </w:pPr>
      <w:rPr>
        <w:b/>
        <w:bCs/>
      </w:rPr>
      <w:tblPr/>
      <w:tcPr>
        <w:tcBorders>
          <w:top w:val="single" w:sz="8" w:space="0" w:color="0A2FB5" w:themeColor="accent1"/>
          <w:left w:val="nil"/>
          <w:bottom w:val="single" w:sz="8" w:space="0" w:color="0A2FB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C3FB" w:themeFill="accent1" w:themeFillTint="3F"/>
      </w:tcPr>
    </w:tblStylePr>
    <w:tblStylePr w:type="band1Horz">
      <w:tblPr/>
      <w:tcPr>
        <w:tcBorders>
          <w:left w:val="nil"/>
          <w:right w:val="nil"/>
          <w:insideH w:val="nil"/>
          <w:insideV w:val="nil"/>
        </w:tcBorders>
        <w:shd w:val="clear" w:color="auto" w:fill="B4C3FB" w:themeFill="accent1" w:themeFillTint="3F"/>
      </w:tcPr>
    </w:tblStylePr>
  </w:style>
  <w:style w:type="table" w:styleId="LightShading-Accent2">
    <w:name w:val="Light Shading Accent 2"/>
    <w:basedOn w:val="TableNormal"/>
    <w:uiPriority w:val="60"/>
    <w:rsid w:val="000B7E73"/>
    <w:rPr>
      <w:color w:val="37005F" w:themeColor="accent2" w:themeShade="BF"/>
    </w:rPr>
    <w:tblPr>
      <w:tblStyleRowBandSize w:val="1"/>
      <w:tblStyleColBandSize w:val="1"/>
      <w:tblBorders>
        <w:top w:val="single" w:sz="8" w:space="0" w:color="4A0080" w:themeColor="accent2"/>
        <w:bottom w:val="single" w:sz="8" w:space="0" w:color="4A0080" w:themeColor="accent2"/>
      </w:tblBorders>
    </w:tblPr>
    <w:tblStylePr w:type="firstRow">
      <w:pPr>
        <w:spacing w:before="0" w:after="0" w:line="240" w:lineRule="auto"/>
      </w:pPr>
      <w:rPr>
        <w:b/>
        <w:bCs/>
      </w:rPr>
      <w:tblPr/>
      <w:tcPr>
        <w:tcBorders>
          <w:top w:val="single" w:sz="8" w:space="0" w:color="4A0080" w:themeColor="accent2"/>
          <w:left w:val="nil"/>
          <w:bottom w:val="single" w:sz="8" w:space="0" w:color="4A0080" w:themeColor="accent2"/>
          <w:right w:val="nil"/>
          <w:insideH w:val="nil"/>
          <w:insideV w:val="nil"/>
        </w:tcBorders>
      </w:tcPr>
    </w:tblStylePr>
    <w:tblStylePr w:type="lastRow">
      <w:pPr>
        <w:spacing w:before="0" w:after="0" w:line="240" w:lineRule="auto"/>
      </w:pPr>
      <w:rPr>
        <w:b/>
        <w:bCs/>
      </w:rPr>
      <w:tblPr/>
      <w:tcPr>
        <w:tcBorders>
          <w:top w:val="single" w:sz="8" w:space="0" w:color="4A0080" w:themeColor="accent2"/>
          <w:left w:val="nil"/>
          <w:bottom w:val="single" w:sz="8" w:space="0" w:color="4A008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A0FF" w:themeFill="accent2" w:themeFillTint="3F"/>
      </w:tcPr>
    </w:tblStylePr>
    <w:tblStylePr w:type="band1Horz">
      <w:tblPr/>
      <w:tcPr>
        <w:tcBorders>
          <w:left w:val="nil"/>
          <w:right w:val="nil"/>
          <w:insideH w:val="nil"/>
          <w:insideV w:val="nil"/>
        </w:tcBorders>
        <w:shd w:val="clear" w:color="auto" w:fill="D6A0FF" w:themeFill="accent2" w:themeFillTint="3F"/>
      </w:tcPr>
    </w:tblStylePr>
  </w:style>
  <w:style w:type="table" w:styleId="LightShading-Accent3">
    <w:name w:val="Light Shading Accent 3"/>
    <w:basedOn w:val="TableNormal"/>
    <w:uiPriority w:val="60"/>
    <w:rsid w:val="000B7E73"/>
    <w:rPr>
      <w:color w:val="0C5C70" w:themeColor="accent3" w:themeShade="BF"/>
    </w:rPr>
    <w:tblPr>
      <w:tblStyleRowBandSize w:val="1"/>
      <w:tblStyleColBandSize w:val="1"/>
      <w:tblBorders>
        <w:top w:val="single" w:sz="8" w:space="0" w:color="117C96" w:themeColor="accent3"/>
        <w:bottom w:val="single" w:sz="8" w:space="0" w:color="117C96" w:themeColor="accent3"/>
      </w:tblBorders>
    </w:tblPr>
    <w:tblStylePr w:type="firstRow">
      <w:pPr>
        <w:spacing w:before="0" w:after="0" w:line="240" w:lineRule="auto"/>
      </w:pPr>
      <w:rPr>
        <w:b/>
        <w:bCs/>
      </w:rPr>
      <w:tblPr/>
      <w:tcPr>
        <w:tcBorders>
          <w:top w:val="single" w:sz="8" w:space="0" w:color="117C96" w:themeColor="accent3"/>
          <w:left w:val="nil"/>
          <w:bottom w:val="single" w:sz="8" w:space="0" w:color="117C96" w:themeColor="accent3"/>
          <w:right w:val="nil"/>
          <w:insideH w:val="nil"/>
          <w:insideV w:val="nil"/>
        </w:tcBorders>
      </w:tcPr>
    </w:tblStylePr>
    <w:tblStylePr w:type="lastRow">
      <w:pPr>
        <w:spacing w:before="0" w:after="0" w:line="240" w:lineRule="auto"/>
      </w:pPr>
      <w:rPr>
        <w:b/>
        <w:bCs/>
      </w:rPr>
      <w:tblPr/>
      <w:tcPr>
        <w:tcBorders>
          <w:top w:val="single" w:sz="8" w:space="0" w:color="117C96" w:themeColor="accent3"/>
          <w:left w:val="nil"/>
          <w:bottom w:val="single" w:sz="8" w:space="0" w:color="117C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E9F6" w:themeFill="accent3" w:themeFillTint="3F"/>
      </w:tcPr>
    </w:tblStylePr>
    <w:tblStylePr w:type="band1Horz">
      <w:tblPr/>
      <w:tcPr>
        <w:tcBorders>
          <w:left w:val="nil"/>
          <w:right w:val="nil"/>
          <w:insideH w:val="nil"/>
          <w:insideV w:val="nil"/>
        </w:tcBorders>
        <w:shd w:val="clear" w:color="auto" w:fill="B2E9F6" w:themeFill="accent3" w:themeFillTint="3F"/>
      </w:tcPr>
    </w:tblStylePr>
  </w:style>
  <w:style w:type="table" w:styleId="LightShading-Accent4">
    <w:name w:val="Light Shading Accent 4"/>
    <w:basedOn w:val="TableNormal"/>
    <w:uiPriority w:val="60"/>
    <w:rsid w:val="000B7E73"/>
    <w:rPr>
      <w:color w:val="720934" w:themeColor="accent4" w:themeShade="BF"/>
    </w:rPr>
    <w:tblPr>
      <w:tblStyleRowBandSize w:val="1"/>
      <w:tblStyleColBandSize w:val="1"/>
      <w:tblBorders>
        <w:top w:val="single" w:sz="8" w:space="0" w:color="990C47" w:themeColor="accent4"/>
        <w:bottom w:val="single" w:sz="8" w:space="0" w:color="990C47" w:themeColor="accent4"/>
      </w:tblBorders>
    </w:tblPr>
    <w:tblStylePr w:type="firstRow">
      <w:pPr>
        <w:spacing w:before="0" w:after="0" w:line="240" w:lineRule="auto"/>
      </w:pPr>
      <w:rPr>
        <w:b/>
        <w:bCs/>
      </w:rPr>
      <w:tblPr/>
      <w:tcPr>
        <w:tcBorders>
          <w:top w:val="single" w:sz="8" w:space="0" w:color="990C47" w:themeColor="accent4"/>
          <w:left w:val="nil"/>
          <w:bottom w:val="single" w:sz="8" w:space="0" w:color="990C47" w:themeColor="accent4"/>
          <w:right w:val="nil"/>
          <w:insideH w:val="nil"/>
          <w:insideV w:val="nil"/>
        </w:tcBorders>
      </w:tcPr>
    </w:tblStylePr>
    <w:tblStylePr w:type="lastRow">
      <w:pPr>
        <w:spacing w:before="0" w:after="0" w:line="240" w:lineRule="auto"/>
      </w:pPr>
      <w:rPr>
        <w:b/>
        <w:bCs/>
      </w:rPr>
      <w:tblPr/>
      <w:tcPr>
        <w:tcBorders>
          <w:top w:val="single" w:sz="8" w:space="0" w:color="990C47" w:themeColor="accent4"/>
          <w:left w:val="nil"/>
          <w:bottom w:val="single" w:sz="8" w:space="0" w:color="990C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AFCE" w:themeFill="accent4" w:themeFillTint="3F"/>
      </w:tcPr>
    </w:tblStylePr>
    <w:tblStylePr w:type="band1Horz">
      <w:tblPr/>
      <w:tcPr>
        <w:tcBorders>
          <w:left w:val="nil"/>
          <w:right w:val="nil"/>
          <w:insideH w:val="nil"/>
          <w:insideV w:val="nil"/>
        </w:tcBorders>
        <w:shd w:val="clear" w:color="auto" w:fill="F8AFCE" w:themeFill="accent4" w:themeFillTint="3F"/>
      </w:tcPr>
    </w:tblStylePr>
  </w:style>
  <w:style w:type="table" w:styleId="LightShading-Accent5">
    <w:name w:val="Light Shading Accent 5"/>
    <w:basedOn w:val="TableNormal"/>
    <w:uiPriority w:val="60"/>
    <w:rsid w:val="000B7E73"/>
    <w:rPr>
      <w:color w:val="6F6D6C" w:themeColor="accent5" w:themeShade="BF"/>
    </w:rPr>
    <w:tblPr>
      <w:tblStyleRowBandSize w:val="1"/>
      <w:tblStyleColBandSize w:val="1"/>
      <w:tblBorders>
        <w:top w:val="single" w:sz="8" w:space="0" w:color="959392" w:themeColor="accent5"/>
        <w:bottom w:val="single" w:sz="8" w:space="0" w:color="959392" w:themeColor="accent5"/>
      </w:tblBorders>
    </w:tblPr>
    <w:tblStylePr w:type="firstRow">
      <w:pPr>
        <w:spacing w:before="0" w:after="0" w:line="240" w:lineRule="auto"/>
      </w:pPr>
      <w:rPr>
        <w:b/>
        <w:bCs/>
      </w:rPr>
      <w:tblPr/>
      <w:tcPr>
        <w:tcBorders>
          <w:top w:val="single" w:sz="8" w:space="0" w:color="959392" w:themeColor="accent5"/>
          <w:left w:val="nil"/>
          <w:bottom w:val="single" w:sz="8" w:space="0" w:color="959392" w:themeColor="accent5"/>
          <w:right w:val="nil"/>
          <w:insideH w:val="nil"/>
          <w:insideV w:val="nil"/>
        </w:tcBorders>
      </w:tcPr>
    </w:tblStylePr>
    <w:tblStylePr w:type="lastRow">
      <w:pPr>
        <w:spacing w:before="0" w:after="0" w:line="240" w:lineRule="auto"/>
      </w:pPr>
      <w:rPr>
        <w:b/>
        <w:bCs/>
      </w:rPr>
      <w:tblPr/>
      <w:tcPr>
        <w:tcBorders>
          <w:top w:val="single" w:sz="8" w:space="0" w:color="959392" w:themeColor="accent5"/>
          <w:left w:val="nil"/>
          <w:bottom w:val="single" w:sz="8" w:space="0" w:color="95939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E4E3" w:themeFill="accent5" w:themeFillTint="3F"/>
      </w:tcPr>
    </w:tblStylePr>
    <w:tblStylePr w:type="band1Horz">
      <w:tblPr/>
      <w:tcPr>
        <w:tcBorders>
          <w:left w:val="nil"/>
          <w:right w:val="nil"/>
          <w:insideH w:val="nil"/>
          <w:insideV w:val="nil"/>
        </w:tcBorders>
        <w:shd w:val="clear" w:color="auto" w:fill="E4E4E3" w:themeFill="accent5" w:themeFillTint="3F"/>
      </w:tcPr>
    </w:tblStylePr>
  </w:style>
  <w:style w:type="table" w:styleId="LightShading-Accent6">
    <w:name w:val="Light Shading Accent 6"/>
    <w:basedOn w:val="TableNormal"/>
    <w:uiPriority w:val="60"/>
    <w:rsid w:val="000B7E73"/>
    <w:rPr>
      <w:color w:val="414040" w:themeColor="accent6" w:themeShade="BF"/>
    </w:rPr>
    <w:tblPr>
      <w:tblStyleRowBandSize w:val="1"/>
      <w:tblStyleColBandSize w:val="1"/>
      <w:tblBorders>
        <w:top w:val="single" w:sz="8" w:space="0" w:color="585656" w:themeColor="accent6"/>
        <w:bottom w:val="single" w:sz="8" w:space="0" w:color="585656" w:themeColor="accent6"/>
      </w:tblBorders>
    </w:tblPr>
    <w:tblStylePr w:type="firstRow">
      <w:pPr>
        <w:spacing w:before="0" w:after="0" w:line="240" w:lineRule="auto"/>
      </w:pPr>
      <w:rPr>
        <w:b/>
        <w:bCs/>
      </w:rPr>
      <w:tblPr/>
      <w:tcPr>
        <w:tcBorders>
          <w:top w:val="single" w:sz="8" w:space="0" w:color="585656" w:themeColor="accent6"/>
          <w:left w:val="nil"/>
          <w:bottom w:val="single" w:sz="8" w:space="0" w:color="585656" w:themeColor="accent6"/>
          <w:right w:val="nil"/>
          <w:insideH w:val="nil"/>
          <w:insideV w:val="nil"/>
        </w:tcBorders>
      </w:tcPr>
    </w:tblStylePr>
    <w:tblStylePr w:type="lastRow">
      <w:pPr>
        <w:spacing w:before="0" w:after="0" w:line="240" w:lineRule="auto"/>
      </w:pPr>
      <w:rPr>
        <w:b/>
        <w:bCs/>
      </w:rPr>
      <w:tblPr/>
      <w:tcPr>
        <w:tcBorders>
          <w:top w:val="single" w:sz="8" w:space="0" w:color="585656" w:themeColor="accent6"/>
          <w:left w:val="nil"/>
          <w:bottom w:val="single" w:sz="8" w:space="0" w:color="58565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4D4" w:themeFill="accent6" w:themeFillTint="3F"/>
      </w:tcPr>
    </w:tblStylePr>
    <w:tblStylePr w:type="band1Horz">
      <w:tblPr/>
      <w:tcPr>
        <w:tcBorders>
          <w:left w:val="nil"/>
          <w:right w:val="nil"/>
          <w:insideH w:val="nil"/>
          <w:insideV w:val="nil"/>
        </w:tcBorders>
        <w:shd w:val="clear" w:color="auto" w:fill="D5D4D4" w:themeFill="accent6" w:themeFillTint="3F"/>
      </w:tcPr>
    </w:tblStylePr>
  </w:style>
  <w:style w:type="character" w:styleId="LineNumber">
    <w:name w:val="line number"/>
    <w:basedOn w:val="DefaultParagraphFont"/>
    <w:rsid w:val="000B7E73"/>
    <w:rPr>
      <w:lang w:val="en-GB"/>
    </w:rPr>
  </w:style>
  <w:style w:type="paragraph" w:styleId="List">
    <w:name w:val="List"/>
    <w:basedOn w:val="Normal"/>
    <w:rsid w:val="000B7E73"/>
    <w:pPr>
      <w:ind w:left="360" w:hanging="360"/>
      <w:contextualSpacing/>
    </w:pPr>
  </w:style>
  <w:style w:type="paragraph" w:styleId="List2">
    <w:name w:val="List 2"/>
    <w:basedOn w:val="Normal"/>
    <w:rsid w:val="000B7E73"/>
    <w:pPr>
      <w:ind w:left="720" w:hanging="360"/>
      <w:contextualSpacing/>
    </w:pPr>
  </w:style>
  <w:style w:type="paragraph" w:styleId="List3">
    <w:name w:val="List 3"/>
    <w:basedOn w:val="Normal"/>
    <w:rsid w:val="000B7E73"/>
    <w:pPr>
      <w:ind w:left="1080" w:hanging="360"/>
      <w:contextualSpacing/>
    </w:pPr>
  </w:style>
  <w:style w:type="paragraph" w:styleId="List4">
    <w:name w:val="List 4"/>
    <w:basedOn w:val="Normal"/>
    <w:rsid w:val="000B7E73"/>
    <w:pPr>
      <w:ind w:left="1440" w:hanging="360"/>
      <w:contextualSpacing/>
    </w:pPr>
  </w:style>
  <w:style w:type="paragraph" w:styleId="List5">
    <w:name w:val="List 5"/>
    <w:basedOn w:val="Normal"/>
    <w:rsid w:val="000B7E73"/>
    <w:pPr>
      <w:ind w:left="1800" w:hanging="360"/>
      <w:contextualSpacing/>
    </w:pPr>
  </w:style>
  <w:style w:type="paragraph" w:styleId="ListBullet">
    <w:name w:val="List Bullet"/>
    <w:basedOn w:val="Normal"/>
    <w:uiPriority w:val="34"/>
    <w:unhideWhenUsed/>
    <w:qFormat/>
    <w:rsid w:val="00DF5972"/>
    <w:pPr>
      <w:numPr>
        <w:numId w:val="32"/>
      </w:numPr>
      <w:spacing w:after="165" w:line="259" w:lineRule="auto"/>
      <w:ind w:left="720" w:hanging="360"/>
      <w:contextualSpacing/>
    </w:pPr>
  </w:style>
  <w:style w:type="paragraph" w:styleId="ListBullet2">
    <w:name w:val="List Bullet 2"/>
    <w:basedOn w:val="Normal"/>
    <w:uiPriority w:val="99"/>
    <w:unhideWhenUsed/>
    <w:rsid w:val="004001CC"/>
    <w:pPr>
      <w:numPr>
        <w:numId w:val="11"/>
      </w:numPr>
      <w:spacing w:after="160" w:line="259" w:lineRule="auto"/>
      <w:contextualSpacing/>
    </w:pPr>
    <w:rPr>
      <w:rFonts w:eastAsiaTheme="minorEastAsia" w:cstheme="minorBidi"/>
      <w:color w:val="000000" w:themeColor="text1"/>
      <w:szCs w:val="22"/>
    </w:rPr>
  </w:style>
  <w:style w:type="paragraph" w:styleId="ListBullet3">
    <w:name w:val="List Bullet 3"/>
    <w:basedOn w:val="Normal"/>
    <w:uiPriority w:val="99"/>
    <w:unhideWhenUsed/>
    <w:rsid w:val="004001CC"/>
    <w:pPr>
      <w:numPr>
        <w:numId w:val="12"/>
      </w:numPr>
      <w:spacing w:after="160" w:line="259" w:lineRule="auto"/>
      <w:contextualSpacing/>
    </w:pPr>
    <w:rPr>
      <w:rFonts w:eastAsiaTheme="minorEastAsia" w:cstheme="minorBidi"/>
      <w:color w:val="000000" w:themeColor="text1"/>
      <w:szCs w:val="22"/>
    </w:rPr>
  </w:style>
  <w:style w:type="paragraph" w:styleId="ListBullet4">
    <w:name w:val="List Bullet 4"/>
    <w:basedOn w:val="Normal"/>
    <w:uiPriority w:val="99"/>
    <w:unhideWhenUsed/>
    <w:rsid w:val="004001CC"/>
    <w:pPr>
      <w:numPr>
        <w:numId w:val="13"/>
      </w:numPr>
      <w:spacing w:after="160" w:line="259" w:lineRule="auto"/>
      <w:contextualSpacing/>
    </w:pPr>
    <w:rPr>
      <w:rFonts w:eastAsiaTheme="minorEastAsia" w:cstheme="minorBidi"/>
      <w:color w:val="000000" w:themeColor="text1"/>
      <w:szCs w:val="22"/>
    </w:rPr>
  </w:style>
  <w:style w:type="paragraph" w:styleId="ListBullet5">
    <w:name w:val="List Bullet 5"/>
    <w:basedOn w:val="Normal"/>
    <w:uiPriority w:val="99"/>
    <w:unhideWhenUsed/>
    <w:rsid w:val="004001CC"/>
    <w:pPr>
      <w:numPr>
        <w:numId w:val="14"/>
      </w:numPr>
      <w:spacing w:after="160" w:line="259" w:lineRule="auto"/>
      <w:contextualSpacing/>
    </w:pPr>
    <w:rPr>
      <w:rFonts w:eastAsiaTheme="minorEastAsia" w:cstheme="minorBidi"/>
      <w:color w:val="000000" w:themeColor="text1"/>
      <w:szCs w:val="22"/>
    </w:rPr>
  </w:style>
  <w:style w:type="paragraph" w:styleId="ListContinue">
    <w:name w:val="List Continue"/>
    <w:basedOn w:val="Normal"/>
    <w:rsid w:val="000B7E73"/>
    <w:pPr>
      <w:spacing w:after="120"/>
      <w:ind w:left="360"/>
      <w:contextualSpacing/>
    </w:pPr>
  </w:style>
  <w:style w:type="paragraph" w:styleId="ListContinue2">
    <w:name w:val="List Continue 2"/>
    <w:basedOn w:val="Normal"/>
    <w:rsid w:val="000B7E73"/>
    <w:pPr>
      <w:spacing w:after="120"/>
      <w:ind w:left="720"/>
      <w:contextualSpacing/>
    </w:pPr>
  </w:style>
  <w:style w:type="paragraph" w:styleId="ListContinue3">
    <w:name w:val="List Continue 3"/>
    <w:basedOn w:val="Normal"/>
    <w:rsid w:val="000B7E73"/>
    <w:pPr>
      <w:spacing w:after="120"/>
      <w:ind w:left="1080"/>
      <w:contextualSpacing/>
    </w:pPr>
  </w:style>
  <w:style w:type="paragraph" w:styleId="ListContinue4">
    <w:name w:val="List Continue 4"/>
    <w:basedOn w:val="Normal"/>
    <w:rsid w:val="000B7E73"/>
    <w:pPr>
      <w:spacing w:after="120"/>
      <w:ind w:left="1440"/>
      <w:contextualSpacing/>
    </w:pPr>
  </w:style>
  <w:style w:type="paragraph" w:styleId="ListContinue5">
    <w:name w:val="List Continue 5"/>
    <w:basedOn w:val="Normal"/>
    <w:rsid w:val="000B7E73"/>
    <w:pPr>
      <w:spacing w:after="120"/>
      <w:ind w:left="1800"/>
      <w:contextualSpacing/>
    </w:pPr>
  </w:style>
  <w:style w:type="paragraph" w:styleId="ListNumber">
    <w:name w:val="List Number"/>
    <w:basedOn w:val="Normal"/>
    <w:rsid w:val="000B7E73"/>
    <w:pPr>
      <w:numPr>
        <w:numId w:val="5"/>
      </w:numPr>
      <w:contextualSpacing/>
    </w:pPr>
  </w:style>
  <w:style w:type="paragraph" w:styleId="ListNumber2">
    <w:name w:val="List Number 2"/>
    <w:basedOn w:val="Normal"/>
    <w:rsid w:val="000B7E73"/>
    <w:pPr>
      <w:numPr>
        <w:numId w:val="6"/>
      </w:numPr>
      <w:contextualSpacing/>
    </w:pPr>
  </w:style>
  <w:style w:type="paragraph" w:styleId="ListNumber3">
    <w:name w:val="List Number 3"/>
    <w:basedOn w:val="Normal"/>
    <w:rsid w:val="000B7E73"/>
    <w:pPr>
      <w:numPr>
        <w:numId w:val="7"/>
      </w:numPr>
      <w:contextualSpacing/>
    </w:pPr>
  </w:style>
  <w:style w:type="paragraph" w:styleId="ListNumber4">
    <w:name w:val="List Number 4"/>
    <w:basedOn w:val="Normal"/>
    <w:rsid w:val="000B7E73"/>
    <w:pPr>
      <w:numPr>
        <w:numId w:val="8"/>
      </w:numPr>
      <w:contextualSpacing/>
    </w:pPr>
  </w:style>
  <w:style w:type="paragraph" w:styleId="ListNumber5">
    <w:name w:val="List Number 5"/>
    <w:basedOn w:val="Normal"/>
    <w:rsid w:val="000B7E73"/>
    <w:pPr>
      <w:numPr>
        <w:numId w:val="9"/>
      </w:numPr>
      <w:contextualSpacing/>
    </w:pPr>
  </w:style>
  <w:style w:type="paragraph" w:styleId="ListParagraph">
    <w:name w:val="List Paragraph"/>
    <w:basedOn w:val="Normal"/>
    <w:uiPriority w:val="34"/>
    <w:qFormat/>
    <w:rsid w:val="00D92C72"/>
    <w:pPr>
      <w:spacing w:after="120"/>
      <w:ind w:left="396"/>
      <w:contextualSpacing/>
    </w:pPr>
  </w:style>
  <w:style w:type="paragraph" w:styleId="MacroText">
    <w:name w:val="macro"/>
    <w:link w:val="MacroTextChar"/>
    <w:rsid w:val="000B7E73"/>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rsid w:val="000B7E73"/>
    <w:rPr>
      <w:rFonts w:ascii="Consolas" w:hAnsi="Consolas"/>
      <w:lang w:val="en-GB"/>
    </w:rPr>
  </w:style>
  <w:style w:type="table" w:customStyle="1" w:styleId="MediumGrid11">
    <w:name w:val="Medium Grid 11"/>
    <w:basedOn w:val="TableNormal"/>
    <w:uiPriority w:val="67"/>
    <w:rsid w:val="000B7E7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0B7E73"/>
    <w:tblPr>
      <w:tblStyleRowBandSize w:val="1"/>
      <w:tblStyleColBandSize w:val="1"/>
      <w:tblBorders>
        <w:top w:val="single" w:sz="8"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single" w:sz="8" w:space="0" w:color="1C4AF2" w:themeColor="accent1" w:themeTint="BF"/>
        <w:insideV w:val="single" w:sz="8" w:space="0" w:color="1C4AF2" w:themeColor="accent1" w:themeTint="BF"/>
      </w:tblBorders>
    </w:tblPr>
    <w:tcPr>
      <w:shd w:val="clear" w:color="auto" w:fill="B4C3FB" w:themeFill="accent1" w:themeFillTint="3F"/>
    </w:tcPr>
    <w:tblStylePr w:type="firstRow">
      <w:rPr>
        <w:b/>
        <w:bCs/>
      </w:rPr>
    </w:tblStylePr>
    <w:tblStylePr w:type="lastRow">
      <w:rPr>
        <w:b/>
        <w:bCs/>
      </w:rPr>
      <w:tblPr/>
      <w:tcPr>
        <w:tcBorders>
          <w:top w:val="single" w:sz="18" w:space="0" w:color="1C4AF2" w:themeColor="accent1" w:themeTint="BF"/>
        </w:tcBorders>
      </w:tcPr>
    </w:tblStylePr>
    <w:tblStylePr w:type="firstCol">
      <w:rPr>
        <w:b/>
        <w:bCs/>
      </w:rPr>
    </w:tblStylePr>
    <w:tblStylePr w:type="lastCol">
      <w:rPr>
        <w:b/>
        <w:bCs/>
      </w:rPr>
    </w:tblStylePr>
    <w:tblStylePr w:type="band1Vert">
      <w:tblPr/>
      <w:tcPr>
        <w:shd w:val="clear" w:color="auto" w:fill="6887F6" w:themeFill="accent1" w:themeFillTint="7F"/>
      </w:tcPr>
    </w:tblStylePr>
    <w:tblStylePr w:type="band1Horz">
      <w:tblPr/>
      <w:tcPr>
        <w:shd w:val="clear" w:color="auto" w:fill="6887F6" w:themeFill="accent1" w:themeFillTint="7F"/>
      </w:tcPr>
    </w:tblStylePr>
  </w:style>
  <w:style w:type="table" w:styleId="MediumGrid1-Accent2">
    <w:name w:val="Medium Grid 1 Accent 2"/>
    <w:basedOn w:val="TableNormal"/>
    <w:uiPriority w:val="67"/>
    <w:rsid w:val="000B7E73"/>
    <w:tblPr>
      <w:tblStyleRowBandSize w:val="1"/>
      <w:tblStyleColBandSize w:val="1"/>
      <w:tblBorders>
        <w:top w:val="single" w:sz="8"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single" w:sz="8" w:space="0" w:color="8000DF" w:themeColor="accent2" w:themeTint="BF"/>
        <w:insideV w:val="single" w:sz="8" w:space="0" w:color="8000DF" w:themeColor="accent2" w:themeTint="BF"/>
      </w:tblBorders>
    </w:tblPr>
    <w:tcPr>
      <w:shd w:val="clear" w:color="auto" w:fill="D6A0FF" w:themeFill="accent2" w:themeFillTint="3F"/>
    </w:tcPr>
    <w:tblStylePr w:type="firstRow">
      <w:rPr>
        <w:b/>
        <w:bCs/>
      </w:rPr>
    </w:tblStylePr>
    <w:tblStylePr w:type="lastRow">
      <w:rPr>
        <w:b/>
        <w:bCs/>
      </w:rPr>
      <w:tblPr/>
      <w:tcPr>
        <w:tcBorders>
          <w:top w:val="single" w:sz="18" w:space="0" w:color="8000DF" w:themeColor="accent2" w:themeTint="BF"/>
        </w:tcBorders>
      </w:tcPr>
    </w:tblStylePr>
    <w:tblStylePr w:type="firstCol">
      <w:rPr>
        <w:b/>
        <w:bCs/>
      </w:rPr>
    </w:tblStylePr>
    <w:tblStylePr w:type="lastCol">
      <w:rPr>
        <w:b/>
        <w:bCs/>
      </w:rPr>
    </w:tblStylePr>
    <w:tblStylePr w:type="band1Vert">
      <w:tblPr/>
      <w:tcPr>
        <w:shd w:val="clear" w:color="auto" w:fill="AE40FF" w:themeFill="accent2" w:themeFillTint="7F"/>
      </w:tcPr>
    </w:tblStylePr>
    <w:tblStylePr w:type="band1Horz">
      <w:tblPr/>
      <w:tcPr>
        <w:shd w:val="clear" w:color="auto" w:fill="AE40FF" w:themeFill="accent2" w:themeFillTint="7F"/>
      </w:tcPr>
    </w:tblStylePr>
  </w:style>
  <w:style w:type="table" w:styleId="MediumGrid1-Accent3">
    <w:name w:val="Medium Grid 1 Accent 3"/>
    <w:basedOn w:val="TableNormal"/>
    <w:uiPriority w:val="67"/>
    <w:rsid w:val="000B7E73"/>
    <w:tblPr>
      <w:tblStyleRowBandSize w:val="1"/>
      <w:tblStyleColBandSize w:val="1"/>
      <w:tblBorders>
        <w:top w:val="single" w:sz="8"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single" w:sz="8" w:space="0" w:color="19BBE3" w:themeColor="accent3" w:themeTint="BF"/>
        <w:insideV w:val="single" w:sz="8" w:space="0" w:color="19BBE3" w:themeColor="accent3" w:themeTint="BF"/>
      </w:tblBorders>
    </w:tblPr>
    <w:tcPr>
      <w:shd w:val="clear" w:color="auto" w:fill="B2E9F6" w:themeFill="accent3" w:themeFillTint="3F"/>
    </w:tcPr>
    <w:tblStylePr w:type="firstRow">
      <w:rPr>
        <w:b/>
        <w:bCs/>
      </w:rPr>
    </w:tblStylePr>
    <w:tblStylePr w:type="lastRow">
      <w:rPr>
        <w:b/>
        <w:bCs/>
      </w:rPr>
      <w:tblPr/>
      <w:tcPr>
        <w:tcBorders>
          <w:top w:val="single" w:sz="18" w:space="0" w:color="19BBE3" w:themeColor="accent3" w:themeTint="BF"/>
        </w:tcBorders>
      </w:tcPr>
    </w:tblStylePr>
    <w:tblStylePr w:type="firstCol">
      <w:rPr>
        <w:b/>
        <w:bCs/>
      </w:rPr>
    </w:tblStylePr>
    <w:tblStylePr w:type="lastCol">
      <w:rPr>
        <w:b/>
        <w:bCs/>
      </w:rPr>
    </w:tblStylePr>
    <w:tblStylePr w:type="band1Vert">
      <w:tblPr/>
      <w:tcPr>
        <w:shd w:val="clear" w:color="auto" w:fill="65D2ED" w:themeFill="accent3" w:themeFillTint="7F"/>
      </w:tcPr>
    </w:tblStylePr>
    <w:tblStylePr w:type="band1Horz">
      <w:tblPr/>
      <w:tcPr>
        <w:shd w:val="clear" w:color="auto" w:fill="65D2ED" w:themeFill="accent3" w:themeFillTint="7F"/>
      </w:tcPr>
    </w:tblStylePr>
  </w:style>
  <w:style w:type="table" w:styleId="MediumGrid1-Accent4">
    <w:name w:val="Medium Grid 1 Accent 4"/>
    <w:basedOn w:val="TableNormal"/>
    <w:uiPriority w:val="67"/>
    <w:rsid w:val="000B7E73"/>
    <w:tblPr>
      <w:tblStyleRowBandSize w:val="1"/>
      <w:tblStyleColBandSize w:val="1"/>
      <w:tblBorders>
        <w:top w:val="single" w:sz="8"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single" w:sz="8" w:space="0" w:color="E9126B" w:themeColor="accent4" w:themeTint="BF"/>
        <w:insideV w:val="single" w:sz="8" w:space="0" w:color="E9126B" w:themeColor="accent4" w:themeTint="BF"/>
      </w:tblBorders>
    </w:tblPr>
    <w:tcPr>
      <w:shd w:val="clear" w:color="auto" w:fill="F8AFCE" w:themeFill="accent4" w:themeFillTint="3F"/>
    </w:tcPr>
    <w:tblStylePr w:type="firstRow">
      <w:rPr>
        <w:b/>
        <w:bCs/>
      </w:rPr>
    </w:tblStylePr>
    <w:tblStylePr w:type="lastRow">
      <w:rPr>
        <w:b/>
        <w:bCs/>
      </w:rPr>
      <w:tblPr/>
      <w:tcPr>
        <w:tcBorders>
          <w:top w:val="single" w:sz="18" w:space="0" w:color="E9126B" w:themeColor="accent4" w:themeTint="BF"/>
        </w:tcBorders>
      </w:tcPr>
    </w:tblStylePr>
    <w:tblStylePr w:type="firstCol">
      <w:rPr>
        <w:b/>
        <w:bCs/>
      </w:rPr>
    </w:tblStylePr>
    <w:tblStylePr w:type="lastCol">
      <w:rPr>
        <w:b/>
        <w:bCs/>
      </w:rPr>
    </w:tblStylePr>
    <w:tblStylePr w:type="band1Vert">
      <w:tblPr/>
      <w:tcPr>
        <w:shd w:val="clear" w:color="auto" w:fill="F25F9C" w:themeFill="accent4" w:themeFillTint="7F"/>
      </w:tcPr>
    </w:tblStylePr>
    <w:tblStylePr w:type="band1Horz">
      <w:tblPr/>
      <w:tcPr>
        <w:shd w:val="clear" w:color="auto" w:fill="F25F9C" w:themeFill="accent4" w:themeFillTint="7F"/>
      </w:tcPr>
    </w:tblStylePr>
  </w:style>
  <w:style w:type="table" w:styleId="MediumGrid1-Accent5">
    <w:name w:val="Medium Grid 1 Accent 5"/>
    <w:basedOn w:val="TableNormal"/>
    <w:uiPriority w:val="67"/>
    <w:rsid w:val="000B7E73"/>
    <w:tblPr>
      <w:tblStyleRowBandSize w:val="1"/>
      <w:tblStyleColBandSize w:val="1"/>
      <w:tblBorders>
        <w:top w:val="single" w:sz="8"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single" w:sz="8" w:space="0" w:color="AFADAD" w:themeColor="accent5" w:themeTint="BF"/>
        <w:insideV w:val="single" w:sz="8" w:space="0" w:color="AFADAD" w:themeColor="accent5" w:themeTint="BF"/>
      </w:tblBorders>
    </w:tblPr>
    <w:tcPr>
      <w:shd w:val="clear" w:color="auto" w:fill="E4E4E3" w:themeFill="accent5" w:themeFillTint="3F"/>
    </w:tcPr>
    <w:tblStylePr w:type="firstRow">
      <w:rPr>
        <w:b/>
        <w:bCs/>
      </w:rPr>
    </w:tblStylePr>
    <w:tblStylePr w:type="lastRow">
      <w:rPr>
        <w:b/>
        <w:bCs/>
      </w:rPr>
      <w:tblPr/>
      <w:tcPr>
        <w:tcBorders>
          <w:top w:val="single" w:sz="18" w:space="0" w:color="AFADAD" w:themeColor="accent5" w:themeTint="BF"/>
        </w:tcBorders>
      </w:tcPr>
    </w:tblStylePr>
    <w:tblStylePr w:type="firstCol">
      <w:rPr>
        <w:b/>
        <w:bCs/>
      </w:rPr>
    </w:tblStylePr>
    <w:tblStylePr w:type="lastCol">
      <w:rPr>
        <w:b/>
        <w:bCs/>
      </w:rPr>
    </w:tblStylePr>
    <w:tblStylePr w:type="band1Vert">
      <w:tblPr/>
      <w:tcPr>
        <w:shd w:val="clear" w:color="auto" w:fill="CAC9C8" w:themeFill="accent5" w:themeFillTint="7F"/>
      </w:tcPr>
    </w:tblStylePr>
    <w:tblStylePr w:type="band1Horz">
      <w:tblPr/>
      <w:tcPr>
        <w:shd w:val="clear" w:color="auto" w:fill="CAC9C8" w:themeFill="accent5" w:themeFillTint="7F"/>
      </w:tcPr>
    </w:tblStylePr>
  </w:style>
  <w:style w:type="table" w:styleId="MediumGrid1-Accent6">
    <w:name w:val="Medium Grid 1 Accent 6"/>
    <w:basedOn w:val="TableNormal"/>
    <w:uiPriority w:val="67"/>
    <w:rsid w:val="000B7E73"/>
    <w:tblPr>
      <w:tblStyleRowBandSize w:val="1"/>
      <w:tblStyleColBandSize w:val="1"/>
      <w:tblBorders>
        <w:top w:val="single" w:sz="8"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single" w:sz="8" w:space="0" w:color="827F7F" w:themeColor="accent6" w:themeTint="BF"/>
        <w:insideV w:val="single" w:sz="8" w:space="0" w:color="827F7F" w:themeColor="accent6" w:themeTint="BF"/>
      </w:tblBorders>
    </w:tblPr>
    <w:tcPr>
      <w:shd w:val="clear" w:color="auto" w:fill="D5D4D4" w:themeFill="accent6" w:themeFillTint="3F"/>
    </w:tcPr>
    <w:tblStylePr w:type="firstRow">
      <w:rPr>
        <w:b/>
        <w:bCs/>
      </w:rPr>
    </w:tblStylePr>
    <w:tblStylePr w:type="lastRow">
      <w:rPr>
        <w:b/>
        <w:bCs/>
      </w:rPr>
      <w:tblPr/>
      <w:tcPr>
        <w:tcBorders>
          <w:top w:val="single" w:sz="18" w:space="0" w:color="827F7F" w:themeColor="accent6" w:themeTint="BF"/>
        </w:tcBorders>
      </w:tcPr>
    </w:tblStylePr>
    <w:tblStylePr w:type="firstCol">
      <w:rPr>
        <w:b/>
        <w:bCs/>
      </w:rPr>
    </w:tblStylePr>
    <w:tblStylePr w:type="lastCol">
      <w:rPr>
        <w:b/>
        <w:bCs/>
      </w:rPr>
    </w:tblStylePr>
    <w:tblStylePr w:type="band1Vert">
      <w:tblPr/>
      <w:tcPr>
        <w:shd w:val="clear" w:color="auto" w:fill="ACAAAA" w:themeFill="accent6" w:themeFillTint="7F"/>
      </w:tcPr>
    </w:tblStylePr>
    <w:tblStylePr w:type="band1Horz">
      <w:tblPr/>
      <w:tcPr>
        <w:shd w:val="clear" w:color="auto" w:fill="ACAAAA" w:themeFill="accent6" w:themeFillTint="7F"/>
      </w:tcPr>
    </w:tblStylePr>
  </w:style>
  <w:style w:type="table" w:customStyle="1" w:styleId="MediumGrid21">
    <w:name w:val="Medium Grid 21"/>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insideH w:val="single" w:sz="8" w:space="0" w:color="0A2FB5" w:themeColor="accent1"/>
        <w:insideV w:val="single" w:sz="8" w:space="0" w:color="0A2FB5" w:themeColor="accent1"/>
      </w:tblBorders>
    </w:tblPr>
    <w:tcPr>
      <w:shd w:val="clear" w:color="auto" w:fill="B4C3FB" w:themeFill="accent1" w:themeFillTint="3F"/>
    </w:tcPr>
    <w:tblStylePr w:type="firstRow">
      <w:rPr>
        <w:b/>
        <w:bCs/>
        <w:color w:val="000000" w:themeColor="text1"/>
      </w:rPr>
      <w:tblPr/>
      <w:tcPr>
        <w:shd w:val="clear" w:color="auto" w:fill="E1E7F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CEFB" w:themeFill="accent1" w:themeFillTint="33"/>
      </w:tcPr>
    </w:tblStylePr>
    <w:tblStylePr w:type="band1Vert">
      <w:tblPr/>
      <w:tcPr>
        <w:shd w:val="clear" w:color="auto" w:fill="6887F6" w:themeFill="accent1" w:themeFillTint="7F"/>
      </w:tcPr>
    </w:tblStylePr>
    <w:tblStylePr w:type="band1Horz">
      <w:tblPr/>
      <w:tcPr>
        <w:tcBorders>
          <w:insideH w:val="single" w:sz="6" w:space="0" w:color="0A2FB5" w:themeColor="accent1"/>
          <w:insideV w:val="single" w:sz="6" w:space="0" w:color="0A2FB5" w:themeColor="accent1"/>
        </w:tcBorders>
        <w:shd w:val="clear" w:color="auto" w:fill="6887F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insideH w:val="single" w:sz="8" w:space="0" w:color="4A0080" w:themeColor="accent2"/>
        <w:insideV w:val="single" w:sz="8" w:space="0" w:color="4A0080" w:themeColor="accent2"/>
      </w:tblBorders>
    </w:tblPr>
    <w:tcPr>
      <w:shd w:val="clear" w:color="auto" w:fill="D6A0FF" w:themeFill="accent2" w:themeFillTint="3F"/>
    </w:tcPr>
    <w:tblStylePr w:type="firstRow">
      <w:rPr>
        <w:b/>
        <w:bCs/>
        <w:color w:val="000000" w:themeColor="text1"/>
      </w:rPr>
      <w:tblPr/>
      <w:tcPr>
        <w:shd w:val="clear" w:color="auto" w:fill="EFD9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B2FF" w:themeFill="accent2" w:themeFillTint="33"/>
      </w:tcPr>
    </w:tblStylePr>
    <w:tblStylePr w:type="band1Vert">
      <w:tblPr/>
      <w:tcPr>
        <w:shd w:val="clear" w:color="auto" w:fill="AE40FF" w:themeFill="accent2" w:themeFillTint="7F"/>
      </w:tcPr>
    </w:tblStylePr>
    <w:tblStylePr w:type="band1Horz">
      <w:tblPr/>
      <w:tcPr>
        <w:tcBorders>
          <w:insideH w:val="single" w:sz="6" w:space="0" w:color="4A0080" w:themeColor="accent2"/>
          <w:insideV w:val="single" w:sz="6" w:space="0" w:color="4A0080" w:themeColor="accent2"/>
        </w:tcBorders>
        <w:shd w:val="clear" w:color="auto" w:fill="AE40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insideH w:val="single" w:sz="8" w:space="0" w:color="117C96" w:themeColor="accent3"/>
        <w:insideV w:val="single" w:sz="8" w:space="0" w:color="117C96" w:themeColor="accent3"/>
      </w:tblBorders>
    </w:tblPr>
    <w:tcPr>
      <w:shd w:val="clear" w:color="auto" w:fill="B2E9F6" w:themeFill="accent3" w:themeFillTint="3F"/>
    </w:tcPr>
    <w:tblStylePr w:type="firstRow">
      <w:rPr>
        <w:b/>
        <w:bCs/>
        <w:color w:val="000000" w:themeColor="text1"/>
      </w:rPr>
      <w:tblPr/>
      <w:tcPr>
        <w:shd w:val="clear" w:color="auto" w:fill="E0F6F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DF8" w:themeFill="accent3" w:themeFillTint="33"/>
      </w:tcPr>
    </w:tblStylePr>
    <w:tblStylePr w:type="band1Vert">
      <w:tblPr/>
      <w:tcPr>
        <w:shd w:val="clear" w:color="auto" w:fill="65D2ED" w:themeFill="accent3" w:themeFillTint="7F"/>
      </w:tcPr>
    </w:tblStylePr>
    <w:tblStylePr w:type="band1Horz">
      <w:tblPr/>
      <w:tcPr>
        <w:tcBorders>
          <w:insideH w:val="single" w:sz="6" w:space="0" w:color="117C96" w:themeColor="accent3"/>
          <w:insideV w:val="single" w:sz="6" w:space="0" w:color="117C96" w:themeColor="accent3"/>
        </w:tcBorders>
        <w:shd w:val="clear" w:color="auto" w:fill="65D2E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insideH w:val="single" w:sz="8" w:space="0" w:color="990C47" w:themeColor="accent4"/>
        <w:insideV w:val="single" w:sz="8" w:space="0" w:color="990C47" w:themeColor="accent4"/>
      </w:tblBorders>
    </w:tblPr>
    <w:tcPr>
      <w:shd w:val="clear" w:color="auto" w:fill="F8AFCE" w:themeFill="accent4" w:themeFillTint="3F"/>
    </w:tcPr>
    <w:tblStylePr w:type="firstRow">
      <w:rPr>
        <w:b/>
        <w:bCs/>
        <w:color w:val="000000" w:themeColor="text1"/>
      </w:rPr>
      <w:tblPr/>
      <w:tcPr>
        <w:shd w:val="clear" w:color="auto" w:fill="FCDF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BFD7" w:themeFill="accent4" w:themeFillTint="33"/>
      </w:tcPr>
    </w:tblStylePr>
    <w:tblStylePr w:type="band1Vert">
      <w:tblPr/>
      <w:tcPr>
        <w:shd w:val="clear" w:color="auto" w:fill="F25F9C" w:themeFill="accent4" w:themeFillTint="7F"/>
      </w:tcPr>
    </w:tblStylePr>
    <w:tblStylePr w:type="band1Horz">
      <w:tblPr/>
      <w:tcPr>
        <w:tcBorders>
          <w:insideH w:val="single" w:sz="6" w:space="0" w:color="990C47" w:themeColor="accent4"/>
          <w:insideV w:val="single" w:sz="6" w:space="0" w:color="990C47" w:themeColor="accent4"/>
        </w:tcBorders>
        <w:shd w:val="clear" w:color="auto" w:fill="F25F9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insideH w:val="single" w:sz="8" w:space="0" w:color="959392" w:themeColor="accent5"/>
        <w:insideV w:val="single" w:sz="8" w:space="0" w:color="959392" w:themeColor="accent5"/>
      </w:tblBorders>
    </w:tblPr>
    <w:tcPr>
      <w:shd w:val="clear" w:color="auto" w:fill="E4E4E3" w:themeFill="accent5" w:themeFillTint="3F"/>
    </w:tcPr>
    <w:tblStylePr w:type="firstRow">
      <w:rPr>
        <w:b/>
        <w:bCs/>
        <w:color w:val="000000" w:themeColor="text1"/>
      </w:rPr>
      <w:tblPr/>
      <w:tcPr>
        <w:shd w:val="clear" w:color="auto" w:fill="F4F4F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E9E9" w:themeFill="accent5" w:themeFillTint="33"/>
      </w:tcPr>
    </w:tblStylePr>
    <w:tblStylePr w:type="band1Vert">
      <w:tblPr/>
      <w:tcPr>
        <w:shd w:val="clear" w:color="auto" w:fill="CAC9C8" w:themeFill="accent5" w:themeFillTint="7F"/>
      </w:tcPr>
    </w:tblStylePr>
    <w:tblStylePr w:type="band1Horz">
      <w:tblPr/>
      <w:tcPr>
        <w:tcBorders>
          <w:insideH w:val="single" w:sz="6" w:space="0" w:color="959392" w:themeColor="accent5"/>
          <w:insideV w:val="single" w:sz="6" w:space="0" w:color="959392" w:themeColor="accent5"/>
        </w:tcBorders>
        <w:shd w:val="clear" w:color="auto" w:fill="CAC9C8"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B7E73"/>
    <w:rPr>
      <w:rFonts w:asciiTheme="majorHAnsi" w:eastAsiaTheme="majorEastAsia" w:hAnsiTheme="majorHAnsi" w:cstheme="majorBidi"/>
      <w:color w:val="000000" w:themeColor="text1"/>
    </w:rPr>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insideH w:val="single" w:sz="8" w:space="0" w:color="585656" w:themeColor="accent6"/>
        <w:insideV w:val="single" w:sz="8" w:space="0" w:color="585656" w:themeColor="accent6"/>
      </w:tblBorders>
    </w:tblPr>
    <w:tcPr>
      <w:shd w:val="clear" w:color="auto" w:fill="D5D4D4" w:themeFill="accent6" w:themeFillTint="3F"/>
    </w:tcPr>
    <w:tblStylePr w:type="firstRow">
      <w:rPr>
        <w:b/>
        <w:bCs/>
        <w:color w:val="000000" w:themeColor="text1"/>
      </w:rPr>
      <w:tblPr/>
      <w:tcPr>
        <w:shd w:val="clear" w:color="auto" w:fill="EEEEE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CDC" w:themeFill="accent6" w:themeFillTint="33"/>
      </w:tcPr>
    </w:tblStylePr>
    <w:tblStylePr w:type="band1Vert">
      <w:tblPr/>
      <w:tcPr>
        <w:shd w:val="clear" w:color="auto" w:fill="ACAAAA" w:themeFill="accent6" w:themeFillTint="7F"/>
      </w:tcPr>
    </w:tblStylePr>
    <w:tblStylePr w:type="band1Horz">
      <w:tblPr/>
      <w:tcPr>
        <w:tcBorders>
          <w:insideH w:val="single" w:sz="6" w:space="0" w:color="585656" w:themeColor="accent6"/>
          <w:insideV w:val="single" w:sz="6" w:space="0" w:color="585656" w:themeColor="accent6"/>
        </w:tcBorders>
        <w:shd w:val="clear" w:color="auto" w:fill="ACAAAA"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C3F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A2FB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A2FB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A2FB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A2FB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887F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887F6" w:themeFill="accent1" w:themeFillTint="7F"/>
      </w:tcPr>
    </w:tblStylePr>
  </w:style>
  <w:style w:type="table" w:styleId="MediumGrid3-Accent2">
    <w:name w:val="Medium Grid 3 Accent 2"/>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A0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A008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A008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A008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A008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40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40FF" w:themeFill="accent2" w:themeFillTint="7F"/>
      </w:tcPr>
    </w:tblStylePr>
  </w:style>
  <w:style w:type="table" w:styleId="MediumGrid3-Accent3">
    <w:name w:val="Medium Grid 3 Accent 3"/>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E9F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17C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17C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17C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17C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5D2E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5D2ED" w:themeFill="accent3" w:themeFillTint="7F"/>
      </w:tcPr>
    </w:tblStylePr>
  </w:style>
  <w:style w:type="table" w:styleId="MediumGrid3-Accent4">
    <w:name w:val="Medium Grid 3 Accent 4"/>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AFC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90C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90C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90C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90C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5F9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5F9C" w:themeFill="accent4" w:themeFillTint="7F"/>
      </w:tcPr>
    </w:tblStylePr>
  </w:style>
  <w:style w:type="table" w:styleId="MediumGrid3-Accent5">
    <w:name w:val="Medium Grid 3 Accent 5"/>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E4E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5939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5939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5939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5939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9C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9C8" w:themeFill="accent5" w:themeFillTint="7F"/>
      </w:tcPr>
    </w:tblStylePr>
  </w:style>
  <w:style w:type="table" w:styleId="MediumGrid3-Accent6">
    <w:name w:val="Medium Grid 3 Accent 6"/>
    <w:basedOn w:val="TableNormal"/>
    <w:uiPriority w:val="69"/>
    <w:rsid w:val="000B7E7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4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565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565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565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565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AA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AAA" w:themeFill="accent6" w:themeFillTint="7F"/>
      </w:tcPr>
    </w:tblStylePr>
  </w:style>
  <w:style w:type="table" w:customStyle="1" w:styleId="MediumList11">
    <w:name w:val="Medium List 11"/>
    <w:basedOn w:val="TableNormal"/>
    <w:uiPriority w:val="65"/>
    <w:rsid w:val="000B7E7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1212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0B7E73"/>
    <w:rPr>
      <w:color w:val="000000" w:themeColor="text1"/>
    </w:rPr>
    <w:tblPr>
      <w:tblStyleRowBandSize w:val="1"/>
      <w:tblStyleColBandSize w:val="1"/>
      <w:tblBorders>
        <w:top w:val="single" w:sz="8" w:space="0" w:color="0A2FB5" w:themeColor="accent1"/>
        <w:bottom w:val="single" w:sz="8" w:space="0" w:color="0A2FB5" w:themeColor="accent1"/>
      </w:tblBorders>
    </w:tblPr>
    <w:tblStylePr w:type="firstRow">
      <w:rPr>
        <w:rFonts w:asciiTheme="majorHAnsi" w:eastAsiaTheme="majorEastAsia" w:hAnsiTheme="majorHAnsi" w:cstheme="majorBidi"/>
      </w:rPr>
      <w:tblPr/>
      <w:tcPr>
        <w:tcBorders>
          <w:top w:val="nil"/>
          <w:bottom w:val="single" w:sz="8" w:space="0" w:color="0A2FB5" w:themeColor="accent1"/>
        </w:tcBorders>
      </w:tcPr>
    </w:tblStylePr>
    <w:tblStylePr w:type="lastRow">
      <w:rPr>
        <w:b/>
        <w:bCs/>
        <w:color w:val="212121" w:themeColor="text2"/>
      </w:rPr>
      <w:tblPr/>
      <w:tcPr>
        <w:tcBorders>
          <w:top w:val="single" w:sz="8" w:space="0" w:color="0A2FB5" w:themeColor="accent1"/>
          <w:bottom w:val="single" w:sz="8" w:space="0" w:color="0A2FB5" w:themeColor="accent1"/>
        </w:tcBorders>
      </w:tcPr>
    </w:tblStylePr>
    <w:tblStylePr w:type="firstCol">
      <w:rPr>
        <w:b/>
        <w:bCs/>
      </w:rPr>
    </w:tblStylePr>
    <w:tblStylePr w:type="lastCol">
      <w:rPr>
        <w:b/>
        <w:bCs/>
      </w:rPr>
      <w:tblPr/>
      <w:tcPr>
        <w:tcBorders>
          <w:top w:val="single" w:sz="8" w:space="0" w:color="0A2FB5" w:themeColor="accent1"/>
          <w:bottom w:val="single" w:sz="8" w:space="0" w:color="0A2FB5" w:themeColor="accent1"/>
        </w:tcBorders>
      </w:tcPr>
    </w:tblStylePr>
    <w:tblStylePr w:type="band1Vert">
      <w:tblPr/>
      <w:tcPr>
        <w:shd w:val="clear" w:color="auto" w:fill="B4C3FB" w:themeFill="accent1" w:themeFillTint="3F"/>
      </w:tcPr>
    </w:tblStylePr>
    <w:tblStylePr w:type="band1Horz">
      <w:tblPr/>
      <w:tcPr>
        <w:shd w:val="clear" w:color="auto" w:fill="B4C3FB" w:themeFill="accent1" w:themeFillTint="3F"/>
      </w:tcPr>
    </w:tblStylePr>
  </w:style>
  <w:style w:type="table" w:styleId="MediumList1-Accent2">
    <w:name w:val="Medium List 1 Accent 2"/>
    <w:basedOn w:val="TableNormal"/>
    <w:uiPriority w:val="65"/>
    <w:rsid w:val="000B7E73"/>
    <w:rPr>
      <w:color w:val="000000" w:themeColor="text1"/>
    </w:rPr>
    <w:tblPr>
      <w:tblStyleRowBandSize w:val="1"/>
      <w:tblStyleColBandSize w:val="1"/>
      <w:tblBorders>
        <w:top w:val="single" w:sz="8" w:space="0" w:color="4A0080" w:themeColor="accent2"/>
        <w:bottom w:val="single" w:sz="8" w:space="0" w:color="4A0080" w:themeColor="accent2"/>
      </w:tblBorders>
    </w:tblPr>
    <w:tblStylePr w:type="firstRow">
      <w:rPr>
        <w:rFonts w:asciiTheme="majorHAnsi" w:eastAsiaTheme="majorEastAsia" w:hAnsiTheme="majorHAnsi" w:cstheme="majorBidi"/>
      </w:rPr>
      <w:tblPr/>
      <w:tcPr>
        <w:tcBorders>
          <w:top w:val="nil"/>
          <w:bottom w:val="single" w:sz="8" w:space="0" w:color="4A0080" w:themeColor="accent2"/>
        </w:tcBorders>
      </w:tcPr>
    </w:tblStylePr>
    <w:tblStylePr w:type="lastRow">
      <w:rPr>
        <w:b/>
        <w:bCs/>
        <w:color w:val="212121" w:themeColor="text2"/>
      </w:rPr>
      <w:tblPr/>
      <w:tcPr>
        <w:tcBorders>
          <w:top w:val="single" w:sz="8" w:space="0" w:color="4A0080" w:themeColor="accent2"/>
          <w:bottom w:val="single" w:sz="8" w:space="0" w:color="4A0080" w:themeColor="accent2"/>
        </w:tcBorders>
      </w:tcPr>
    </w:tblStylePr>
    <w:tblStylePr w:type="firstCol">
      <w:rPr>
        <w:b/>
        <w:bCs/>
      </w:rPr>
    </w:tblStylePr>
    <w:tblStylePr w:type="lastCol">
      <w:rPr>
        <w:b/>
        <w:bCs/>
      </w:rPr>
      <w:tblPr/>
      <w:tcPr>
        <w:tcBorders>
          <w:top w:val="single" w:sz="8" w:space="0" w:color="4A0080" w:themeColor="accent2"/>
          <w:bottom w:val="single" w:sz="8" w:space="0" w:color="4A0080" w:themeColor="accent2"/>
        </w:tcBorders>
      </w:tcPr>
    </w:tblStylePr>
    <w:tblStylePr w:type="band1Vert">
      <w:tblPr/>
      <w:tcPr>
        <w:shd w:val="clear" w:color="auto" w:fill="D6A0FF" w:themeFill="accent2" w:themeFillTint="3F"/>
      </w:tcPr>
    </w:tblStylePr>
    <w:tblStylePr w:type="band1Horz">
      <w:tblPr/>
      <w:tcPr>
        <w:shd w:val="clear" w:color="auto" w:fill="D6A0FF" w:themeFill="accent2" w:themeFillTint="3F"/>
      </w:tcPr>
    </w:tblStylePr>
  </w:style>
  <w:style w:type="table" w:styleId="MediumList1-Accent3">
    <w:name w:val="Medium List 1 Accent 3"/>
    <w:basedOn w:val="TableNormal"/>
    <w:uiPriority w:val="65"/>
    <w:rsid w:val="000B7E73"/>
    <w:rPr>
      <w:color w:val="000000" w:themeColor="text1"/>
    </w:rPr>
    <w:tblPr>
      <w:tblStyleRowBandSize w:val="1"/>
      <w:tblStyleColBandSize w:val="1"/>
      <w:tblBorders>
        <w:top w:val="single" w:sz="8" w:space="0" w:color="117C96" w:themeColor="accent3"/>
        <w:bottom w:val="single" w:sz="8" w:space="0" w:color="117C96" w:themeColor="accent3"/>
      </w:tblBorders>
    </w:tblPr>
    <w:tblStylePr w:type="firstRow">
      <w:rPr>
        <w:rFonts w:asciiTheme="majorHAnsi" w:eastAsiaTheme="majorEastAsia" w:hAnsiTheme="majorHAnsi" w:cstheme="majorBidi"/>
      </w:rPr>
      <w:tblPr/>
      <w:tcPr>
        <w:tcBorders>
          <w:top w:val="nil"/>
          <w:bottom w:val="single" w:sz="8" w:space="0" w:color="117C96" w:themeColor="accent3"/>
        </w:tcBorders>
      </w:tcPr>
    </w:tblStylePr>
    <w:tblStylePr w:type="lastRow">
      <w:rPr>
        <w:b/>
        <w:bCs/>
        <w:color w:val="212121" w:themeColor="text2"/>
      </w:rPr>
      <w:tblPr/>
      <w:tcPr>
        <w:tcBorders>
          <w:top w:val="single" w:sz="8" w:space="0" w:color="117C96" w:themeColor="accent3"/>
          <w:bottom w:val="single" w:sz="8" w:space="0" w:color="117C96" w:themeColor="accent3"/>
        </w:tcBorders>
      </w:tcPr>
    </w:tblStylePr>
    <w:tblStylePr w:type="firstCol">
      <w:rPr>
        <w:b/>
        <w:bCs/>
      </w:rPr>
    </w:tblStylePr>
    <w:tblStylePr w:type="lastCol">
      <w:rPr>
        <w:b/>
        <w:bCs/>
      </w:rPr>
      <w:tblPr/>
      <w:tcPr>
        <w:tcBorders>
          <w:top w:val="single" w:sz="8" w:space="0" w:color="117C96" w:themeColor="accent3"/>
          <w:bottom w:val="single" w:sz="8" w:space="0" w:color="117C96" w:themeColor="accent3"/>
        </w:tcBorders>
      </w:tcPr>
    </w:tblStylePr>
    <w:tblStylePr w:type="band1Vert">
      <w:tblPr/>
      <w:tcPr>
        <w:shd w:val="clear" w:color="auto" w:fill="B2E9F6" w:themeFill="accent3" w:themeFillTint="3F"/>
      </w:tcPr>
    </w:tblStylePr>
    <w:tblStylePr w:type="band1Horz">
      <w:tblPr/>
      <w:tcPr>
        <w:shd w:val="clear" w:color="auto" w:fill="B2E9F6" w:themeFill="accent3" w:themeFillTint="3F"/>
      </w:tcPr>
    </w:tblStylePr>
  </w:style>
  <w:style w:type="table" w:styleId="MediumList1-Accent4">
    <w:name w:val="Medium List 1 Accent 4"/>
    <w:basedOn w:val="TableNormal"/>
    <w:uiPriority w:val="65"/>
    <w:rsid w:val="000B7E73"/>
    <w:rPr>
      <w:color w:val="000000" w:themeColor="text1"/>
    </w:rPr>
    <w:tblPr>
      <w:tblStyleRowBandSize w:val="1"/>
      <w:tblStyleColBandSize w:val="1"/>
      <w:tblBorders>
        <w:top w:val="single" w:sz="8" w:space="0" w:color="990C47" w:themeColor="accent4"/>
        <w:bottom w:val="single" w:sz="8" w:space="0" w:color="990C47" w:themeColor="accent4"/>
      </w:tblBorders>
    </w:tblPr>
    <w:tblStylePr w:type="firstRow">
      <w:rPr>
        <w:rFonts w:asciiTheme="majorHAnsi" w:eastAsiaTheme="majorEastAsia" w:hAnsiTheme="majorHAnsi" w:cstheme="majorBidi"/>
      </w:rPr>
      <w:tblPr/>
      <w:tcPr>
        <w:tcBorders>
          <w:top w:val="nil"/>
          <w:bottom w:val="single" w:sz="8" w:space="0" w:color="990C47" w:themeColor="accent4"/>
        </w:tcBorders>
      </w:tcPr>
    </w:tblStylePr>
    <w:tblStylePr w:type="lastRow">
      <w:rPr>
        <w:b/>
        <w:bCs/>
        <w:color w:val="212121" w:themeColor="text2"/>
      </w:rPr>
      <w:tblPr/>
      <w:tcPr>
        <w:tcBorders>
          <w:top w:val="single" w:sz="8" w:space="0" w:color="990C47" w:themeColor="accent4"/>
          <w:bottom w:val="single" w:sz="8" w:space="0" w:color="990C47" w:themeColor="accent4"/>
        </w:tcBorders>
      </w:tcPr>
    </w:tblStylePr>
    <w:tblStylePr w:type="firstCol">
      <w:rPr>
        <w:b/>
        <w:bCs/>
      </w:rPr>
    </w:tblStylePr>
    <w:tblStylePr w:type="lastCol">
      <w:rPr>
        <w:b/>
        <w:bCs/>
      </w:rPr>
      <w:tblPr/>
      <w:tcPr>
        <w:tcBorders>
          <w:top w:val="single" w:sz="8" w:space="0" w:color="990C47" w:themeColor="accent4"/>
          <w:bottom w:val="single" w:sz="8" w:space="0" w:color="990C47" w:themeColor="accent4"/>
        </w:tcBorders>
      </w:tcPr>
    </w:tblStylePr>
    <w:tblStylePr w:type="band1Vert">
      <w:tblPr/>
      <w:tcPr>
        <w:shd w:val="clear" w:color="auto" w:fill="F8AFCE" w:themeFill="accent4" w:themeFillTint="3F"/>
      </w:tcPr>
    </w:tblStylePr>
    <w:tblStylePr w:type="band1Horz">
      <w:tblPr/>
      <w:tcPr>
        <w:shd w:val="clear" w:color="auto" w:fill="F8AFCE" w:themeFill="accent4" w:themeFillTint="3F"/>
      </w:tcPr>
    </w:tblStylePr>
  </w:style>
  <w:style w:type="table" w:styleId="MediumList1-Accent5">
    <w:name w:val="Medium List 1 Accent 5"/>
    <w:basedOn w:val="TableNormal"/>
    <w:uiPriority w:val="65"/>
    <w:rsid w:val="000B7E73"/>
    <w:rPr>
      <w:color w:val="000000" w:themeColor="text1"/>
    </w:rPr>
    <w:tblPr>
      <w:tblStyleRowBandSize w:val="1"/>
      <w:tblStyleColBandSize w:val="1"/>
      <w:tblBorders>
        <w:top w:val="single" w:sz="8" w:space="0" w:color="959392" w:themeColor="accent5"/>
        <w:bottom w:val="single" w:sz="8" w:space="0" w:color="959392" w:themeColor="accent5"/>
      </w:tblBorders>
    </w:tblPr>
    <w:tblStylePr w:type="firstRow">
      <w:rPr>
        <w:rFonts w:asciiTheme="majorHAnsi" w:eastAsiaTheme="majorEastAsia" w:hAnsiTheme="majorHAnsi" w:cstheme="majorBidi"/>
      </w:rPr>
      <w:tblPr/>
      <w:tcPr>
        <w:tcBorders>
          <w:top w:val="nil"/>
          <w:bottom w:val="single" w:sz="8" w:space="0" w:color="959392" w:themeColor="accent5"/>
        </w:tcBorders>
      </w:tcPr>
    </w:tblStylePr>
    <w:tblStylePr w:type="lastRow">
      <w:rPr>
        <w:b/>
        <w:bCs/>
        <w:color w:val="212121" w:themeColor="text2"/>
      </w:rPr>
      <w:tblPr/>
      <w:tcPr>
        <w:tcBorders>
          <w:top w:val="single" w:sz="8" w:space="0" w:color="959392" w:themeColor="accent5"/>
          <w:bottom w:val="single" w:sz="8" w:space="0" w:color="959392" w:themeColor="accent5"/>
        </w:tcBorders>
      </w:tcPr>
    </w:tblStylePr>
    <w:tblStylePr w:type="firstCol">
      <w:rPr>
        <w:b/>
        <w:bCs/>
      </w:rPr>
    </w:tblStylePr>
    <w:tblStylePr w:type="lastCol">
      <w:rPr>
        <w:b/>
        <w:bCs/>
      </w:rPr>
      <w:tblPr/>
      <w:tcPr>
        <w:tcBorders>
          <w:top w:val="single" w:sz="8" w:space="0" w:color="959392" w:themeColor="accent5"/>
          <w:bottom w:val="single" w:sz="8" w:space="0" w:color="959392" w:themeColor="accent5"/>
        </w:tcBorders>
      </w:tcPr>
    </w:tblStylePr>
    <w:tblStylePr w:type="band1Vert">
      <w:tblPr/>
      <w:tcPr>
        <w:shd w:val="clear" w:color="auto" w:fill="E4E4E3" w:themeFill="accent5" w:themeFillTint="3F"/>
      </w:tcPr>
    </w:tblStylePr>
    <w:tblStylePr w:type="band1Horz">
      <w:tblPr/>
      <w:tcPr>
        <w:shd w:val="clear" w:color="auto" w:fill="E4E4E3" w:themeFill="accent5" w:themeFillTint="3F"/>
      </w:tcPr>
    </w:tblStylePr>
  </w:style>
  <w:style w:type="table" w:styleId="MediumList1-Accent6">
    <w:name w:val="Medium List 1 Accent 6"/>
    <w:basedOn w:val="TableNormal"/>
    <w:uiPriority w:val="65"/>
    <w:rsid w:val="000B7E73"/>
    <w:rPr>
      <w:color w:val="000000" w:themeColor="text1"/>
    </w:rPr>
    <w:tblPr>
      <w:tblStyleRowBandSize w:val="1"/>
      <w:tblStyleColBandSize w:val="1"/>
      <w:tblBorders>
        <w:top w:val="single" w:sz="8" w:space="0" w:color="585656" w:themeColor="accent6"/>
        <w:bottom w:val="single" w:sz="8" w:space="0" w:color="585656" w:themeColor="accent6"/>
      </w:tblBorders>
    </w:tblPr>
    <w:tblStylePr w:type="firstRow">
      <w:rPr>
        <w:rFonts w:asciiTheme="majorHAnsi" w:eastAsiaTheme="majorEastAsia" w:hAnsiTheme="majorHAnsi" w:cstheme="majorBidi"/>
      </w:rPr>
      <w:tblPr/>
      <w:tcPr>
        <w:tcBorders>
          <w:top w:val="nil"/>
          <w:bottom w:val="single" w:sz="8" w:space="0" w:color="585656" w:themeColor="accent6"/>
        </w:tcBorders>
      </w:tcPr>
    </w:tblStylePr>
    <w:tblStylePr w:type="lastRow">
      <w:rPr>
        <w:b/>
        <w:bCs/>
        <w:color w:val="212121" w:themeColor="text2"/>
      </w:rPr>
      <w:tblPr/>
      <w:tcPr>
        <w:tcBorders>
          <w:top w:val="single" w:sz="8" w:space="0" w:color="585656" w:themeColor="accent6"/>
          <w:bottom w:val="single" w:sz="8" w:space="0" w:color="585656" w:themeColor="accent6"/>
        </w:tcBorders>
      </w:tcPr>
    </w:tblStylePr>
    <w:tblStylePr w:type="firstCol">
      <w:rPr>
        <w:b/>
        <w:bCs/>
      </w:rPr>
    </w:tblStylePr>
    <w:tblStylePr w:type="lastCol">
      <w:rPr>
        <w:b/>
        <w:bCs/>
      </w:rPr>
      <w:tblPr/>
      <w:tcPr>
        <w:tcBorders>
          <w:top w:val="single" w:sz="8" w:space="0" w:color="585656" w:themeColor="accent6"/>
          <w:bottom w:val="single" w:sz="8" w:space="0" w:color="585656" w:themeColor="accent6"/>
        </w:tcBorders>
      </w:tcPr>
    </w:tblStylePr>
    <w:tblStylePr w:type="band1Vert">
      <w:tblPr/>
      <w:tcPr>
        <w:shd w:val="clear" w:color="auto" w:fill="D5D4D4" w:themeFill="accent6" w:themeFillTint="3F"/>
      </w:tcPr>
    </w:tblStylePr>
    <w:tblStylePr w:type="band1Horz">
      <w:tblPr/>
      <w:tcPr>
        <w:shd w:val="clear" w:color="auto" w:fill="D5D4D4" w:themeFill="accent6" w:themeFillTint="3F"/>
      </w:tcPr>
    </w:tblStylePr>
  </w:style>
  <w:style w:type="table" w:customStyle="1" w:styleId="MediumList21">
    <w:name w:val="Medium List 21"/>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0A2FB5" w:themeColor="accent1"/>
        <w:left w:val="single" w:sz="8" w:space="0" w:color="0A2FB5" w:themeColor="accent1"/>
        <w:bottom w:val="single" w:sz="8" w:space="0" w:color="0A2FB5" w:themeColor="accent1"/>
        <w:right w:val="single" w:sz="8" w:space="0" w:color="0A2FB5" w:themeColor="accent1"/>
      </w:tblBorders>
    </w:tblPr>
    <w:tblStylePr w:type="firstRow">
      <w:rPr>
        <w:sz w:val="24"/>
        <w:szCs w:val="24"/>
      </w:rPr>
      <w:tblPr/>
      <w:tcPr>
        <w:tcBorders>
          <w:top w:val="nil"/>
          <w:left w:val="nil"/>
          <w:bottom w:val="single" w:sz="24" w:space="0" w:color="0A2FB5" w:themeColor="accent1"/>
          <w:right w:val="nil"/>
          <w:insideH w:val="nil"/>
          <w:insideV w:val="nil"/>
        </w:tcBorders>
        <w:shd w:val="clear" w:color="auto" w:fill="FFFFFF" w:themeFill="background1"/>
      </w:tcPr>
    </w:tblStylePr>
    <w:tblStylePr w:type="lastRow">
      <w:tblPr/>
      <w:tcPr>
        <w:tcBorders>
          <w:top w:val="single" w:sz="8" w:space="0" w:color="0A2FB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A2FB5" w:themeColor="accent1"/>
          <w:insideH w:val="nil"/>
          <w:insideV w:val="nil"/>
        </w:tcBorders>
        <w:shd w:val="clear" w:color="auto" w:fill="FFFFFF" w:themeFill="background1"/>
      </w:tcPr>
    </w:tblStylePr>
    <w:tblStylePr w:type="lastCol">
      <w:tblPr/>
      <w:tcPr>
        <w:tcBorders>
          <w:top w:val="nil"/>
          <w:left w:val="single" w:sz="8" w:space="0" w:color="0A2FB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C3FB" w:themeFill="accent1" w:themeFillTint="3F"/>
      </w:tcPr>
    </w:tblStylePr>
    <w:tblStylePr w:type="band1Horz">
      <w:tblPr/>
      <w:tcPr>
        <w:tcBorders>
          <w:top w:val="nil"/>
          <w:bottom w:val="nil"/>
          <w:insideH w:val="nil"/>
          <w:insideV w:val="nil"/>
        </w:tcBorders>
        <w:shd w:val="clear" w:color="auto" w:fill="B4C3F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4A0080" w:themeColor="accent2"/>
        <w:left w:val="single" w:sz="8" w:space="0" w:color="4A0080" w:themeColor="accent2"/>
        <w:bottom w:val="single" w:sz="8" w:space="0" w:color="4A0080" w:themeColor="accent2"/>
        <w:right w:val="single" w:sz="8" w:space="0" w:color="4A0080" w:themeColor="accent2"/>
      </w:tblBorders>
    </w:tblPr>
    <w:tblStylePr w:type="firstRow">
      <w:rPr>
        <w:sz w:val="24"/>
        <w:szCs w:val="24"/>
      </w:rPr>
      <w:tblPr/>
      <w:tcPr>
        <w:tcBorders>
          <w:top w:val="nil"/>
          <w:left w:val="nil"/>
          <w:bottom w:val="single" w:sz="24" w:space="0" w:color="4A0080" w:themeColor="accent2"/>
          <w:right w:val="nil"/>
          <w:insideH w:val="nil"/>
          <w:insideV w:val="nil"/>
        </w:tcBorders>
        <w:shd w:val="clear" w:color="auto" w:fill="FFFFFF" w:themeFill="background1"/>
      </w:tcPr>
    </w:tblStylePr>
    <w:tblStylePr w:type="lastRow">
      <w:tblPr/>
      <w:tcPr>
        <w:tcBorders>
          <w:top w:val="single" w:sz="8" w:space="0" w:color="4A008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A0080" w:themeColor="accent2"/>
          <w:insideH w:val="nil"/>
          <w:insideV w:val="nil"/>
        </w:tcBorders>
        <w:shd w:val="clear" w:color="auto" w:fill="FFFFFF" w:themeFill="background1"/>
      </w:tcPr>
    </w:tblStylePr>
    <w:tblStylePr w:type="lastCol">
      <w:tblPr/>
      <w:tcPr>
        <w:tcBorders>
          <w:top w:val="nil"/>
          <w:left w:val="single" w:sz="8" w:space="0" w:color="4A008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A0FF" w:themeFill="accent2" w:themeFillTint="3F"/>
      </w:tcPr>
    </w:tblStylePr>
    <w:tblStylePr w:type="band1Horz">
      <w:tblPr/>
      <w:tcPr>
        <w:tcBorders>
          <w:top w:val="nil"/>
          <w:bottom w:val="nil"/>
          <w:insideH w:val="nil"/>
          <w:insideV w:val="nil"/>
        </w:tcBorders>
        <w:shd w:val="clear" w:color="auto" w:fill="D6A0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117C96" w:themeColor="accent3"/>
        <w:left w:val="single" w:sz="8" w:space="0" w:color="117C96" w:themeColor="accent3"/>
        <w:bottom w:val="single" w:sz="8" w:space="0" w:color="117C96" w:themeColor="accent3"/>
        <w:right w:val="single" w:sz="8" w:space="0" w:color="117C96" w:themeColor="accent3"/>
      </w:tblBorders>
    </w:tblPr>
    <w:tblStylePr w:type="firstRow">
      <w:rPr>
        <w:sz w:val="24"/>
        <w:szCs w:val="24"/>
      </w:rPr>
      <w:tblPr/>
      <w:tcPr>
        <w:tcBorders>
          <w:top w:val="nil"/>
          <w:left w:val="nil"/>
          <w:bottom w:val="single" w:sz="24" w:space="0" w:color="117C96" w:themeColor="accent3"/>
          <w:right w:val="nil"/>
          <w:insideH w:val="nil"/>
          <w:insideV w:val="nil"/>
        </w:tcBorders>
        <w:shd w:val="clear" w:color="auto" w:fill="FFFFFF" w:themeFill="background1"/>
      </w:tcPr>
    </w:tblStylePr>
    <w:tblStylePr w:type="lastRow">
      <w:tblPr/>
      <w:tcPr>
        <w:tcBorders>
          <w:top w:val="single" w:sz="8" w:space="0" w:color="117C96"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17C96" w:themeColor="accent3"/>
          <w:insideH w:val="nil"/>
          <w:insideV w:val="nil"/>
        </w:tcBorders>
        <w:shd w:val="clear" w:color="auto" w:fill="FFFFFF" w:themeFill="background1"/>
      </w:tcPr>
    </w:tblStylePr>
    <w:tblStylePr w:type="lastCol">
      <w:tblPr/>
      <w:tcPr>
        <w:tcBorders>
          <w:top w:val="nil"/>
          <w:left w:val="single" w:sz="8" w:space="0" w:color="117C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E9F6" w:themeFill="accent3" w:themeFillTint="3F"/>
      </w:tcPr>
    </w:tblStylePr>
    <w:tblStylePr w:type="band1Horz">
      <w:tblPr/>
      <w:tcPr>
        <w:tcBorders>
          <w:top w:val="nil"/>
          <w:bottom w:val="nil"/>
          <w:insideH w:val="nil"/>
          <w:insideV w:val="nil"/>
        </w:tcBorders>
        <w:shd w:val="clear" w:color="auto" w:fill="B2E9F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990C47" w:themeColor="accent4"/>
        <w:left w:val="single" w:sz="8" w:space="0" w:color="990C47" w:themeColor="accent4"/>
        <w:bottom w:val="single" w:sz="8" w:space="0" w:color="990C47" w:themeColor="accent4"/>
        <w:right w:val="single" w:sz="8" w:space="0" w:color="990C47" w:themeColor="accent4"/>
      </w:tblBorders>
    </w:tblPr>
    <w:tblStylePr w:type="firstRow">
      <w:rPr>
        <w:sz w:val="24"/>
        <w:szCs w:val="24"/>
      </w:rPr>
      <w:tblPr/>
      <w:tcPr>
        <w:tcBorders>
          <w:top w:val="nil"/>
          <w:left w:val="nil"/>
          <w:bottom w:val="single" w:sz="24" w:space="0" w:color="990C47" w:themeColor="accent4"/>
          <w:right w:val="nil"/>
          <w:insideH w:val="nil"/>
          <w:insideV w:val="nil"/>
        </w:tcBorders>
        <w:shd w:val="clear" w:color="auto" w:fill="FFFFFF" w:themeFill="background1"/>
      </w:tcPr>
    </w:tblStylePr>
    <w:tblStylePr w:type="lastRow">
      <w:tblPr/>
      <w:tcPr>
        <w:tcBorders>
          <w:top w:val="single" w:sz="8" w:space="0" w:color="990C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90C47" w:themeColor="accent4"/>
          <w:insideH w:val="nil"/>
          <w:insideV w:val="nil"/>
        </w:tcBorders>
        <w:shd w:val="clear" w:color="auto" w:fill="FFFFFF" w:themeFill="background1"/>
      </w:tcPr>
    </w:tblStylePr>
    <w:tblStylePr w:type="lastCol">
      <w:tblPr/>
      <w:tcPr>
        <w:tcBorders>
          <w:top w:val="nil"/>
          <w:left w:val="single" w:sz="8" w:space="0" w:color="990C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AFCE" w:themeFill="accent4" w:themeFillTint="3F"/>
      </w:tcPr>
    </w:tblStylePr>
    <w:tblStylePr w:type="band1Horz">
      <w:tblPr/>
      <w:tcPr>
        <w:tcBorders>
          <w:top w:val="nil"/>
          <w:bottom w:val="nil"/>
          <w:insideH w:val="nil"/>
          <w:insideV w:val="nil"/>
        </w:tcBorders>
        <w:shd w:val="clear" w:color="auto" w:fill="F8AFC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959392" w:themeColor="accent5"/>
        <w:left w:val="single" w:sz="8" w:space="0" w:color="959392" w:themeColor="accent5"/>
        <w:bottom w:val="single" w:sz="8" w:space="0" w:color="959392" w:themeColor="accent5"/>
        <w:right w:val="single" w:sz="8" w:space="0" w:color="959392" w:themeColor="accent5"/>
      </w:tblBorders>
    </w:tblPr>
    <w:tblStylePr w:type="firstRow">
      <w:rPr>
        <w:sz w:val="24"/>
        <w:szCs w:val="24"/>
      </w:rPr>
      <w:tblPr/>
      <w:tcPr>
        <w:tcBorders>
          <w:top w:val="nil"/>
          <w:left w:val="nil"/>
          <w:bottom w:val="single" w:sz="24" w:space="0" w:color="959392" w:themeColor="accent5"/>
          <w:right w:val="nil"/>
          <w:insideH w:val="nil"/>
          <w:insideV w:val="nil"/>
        </w:tcBorders>
        <w:shd w:val="clear" w:color="auto" w:fill="FFFFFF" w:themeFill="background1"/>
      </w:tcPr>
    </w:tblStylePr>
    <w:tblStylePr w:type="lastRow">
      <w:tblPr/>
      <w:tcPr>
        <w:tcBorders>
          <w:top w:val="single" w:sz="8" w:space="0" w:color="959392"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59392" w:themeColor="accent5"/>
          <w:insideH w:val="nil"/>
          <w:insideV w:val="nil"/>
        </w:tcBorders>
        <w:shd w:val="clear" w:color="auto" w:fill="FFFFFF" w:themeFill="background1"/>
      </w:tcPr>
    </w:tblStylePr>
    <w:tblStylePr w:type="lastCol">
      <w:tblPr/>
      <w:tcPr>
        <w:tcBorders>
          <w:top w:val="nil"/>
          <w:left w:val="single" w:sz="8" w:space="0" w:color="95939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E4E3" w:themeFill="accent5" w:themeFillTint="3F"/>
      </w:tcPr>
    </w:tblStylePr>
    <w:tblStylePr w:type="band1Horz">
      <w:tblPr/>
      <w:tcPr>
        <w:tcBorders>
          <w:top w:val="nil"/>
          <w:bottom w:val="nil"/>
          <w:insideH w:val="nil"/>
          <w:insideV w:val="nil"/>
        </w:tcBorders>
        <w:shd w:val="clear" w:color="auto" w:fill="E4E4E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B7E73"/>
    <w:rPr>
      <w:rFonts w:asciiTheme="majorHAnsi" w:eastAsiaTheme="majorEastAsia" w:hAnsiTheme="majorHAnsi" w:cstheme="majorBidi"/>
      <w:color w:val="000000" w:themeColor="text1"/>
    </w:rPr>
    <w:tblPr>
      <w:tblStyleRowBandSize w:val="1"/>
      <w:tblStyleColBandSize w:val="1"/>
      <w:tblBorders>
        <w:top w:val="single" w:sz="8" w:space="0" w:color="585656" w:themeColor="accent6"/>
        <w:left w:val="single" w:sz="8" w:space="0" w:color="585656" w:themeColor="accent6"/>
        <w:bottom w:val="single" w:sz="8" w:space="0" w:color="585656" w:themeColor="accent6"/>
        <w:right w:val="single" w:sz="8" w:space="0" w:color="585656" w:themeColor="accent6"/>
      </w:tblBorders>
    </w:tblPr>
    <w:tblStylePr w:type="firstRow">
      <w:rPr>
        <w:sz w:val="24"/>
        <w:szCs w:val="24"/>
      </w:rPr>
      <w:tblPr/>
      <w:tcPr>
        <w:tcBorders>
          <w:top w:val="nil"/>
          <w:left w:val="nil"/>
          <w:bottom w:val="single" w:sz="24" w:space="0" w:color="585656" w:themeColor="accent6"/>
          <w:right w:val="nil"/>
          <w:insideH w:val="nil"/>
          <w:insideV w:val="nil"/>
        </w:tcBorders>
        <w:shd w:val="clear" w:color="auto" w:fill="FFFFFF" w:themeFill="background1"/>
      </w:tcPr>
    </w:tblStylePr>
    <w:tblStylePr w:type="lastRow">
      <w:tblPr/>
      <w:tcPr>
        <w:tcBorders>
          <w:top w:val="single" w:sz="8" w:space="0" w:color="58565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5656" w:themeColor="accent6"/>
          <w:insideH w:val="nil"/>
          <w:insideV w:val="nil"/>
        </w:tcBorders>
        <w:shd w:val="clear" w:color="auto" w:fill="FFFFFF" w:themeFill="background1"/>
      </w:tcPr>
    </w:tblStylePr>
    <w:tblStylePr w:type="lastCol">
      <w:tblPr/>
      <w:tcPr>
        <w:tcBorders>
          <w:top w:val="nil"/>
          <w:left w:val="single" w:sz="8" w:space="0" w:color="58565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4D4" w:themeFill="accent6" w:themeFillTint="3F"/>
      </w:tcPr>
    </w:tblStylePr>
    <w:tblStylePr w:type="band1Horz">
      <w:tblPr/>
      <w:tcPr>
        <w:tcBorders>
          <w:top w:val="nil"/>
          <w:bottom w:val="nil"/>
          <w:insideH w:val="nil"/>
          <w:insideV w:val="nil"/>
        </w:tcBorders>
        <w:shd w:val="clear" w:color="auto" w:fill="D5D4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0B7E7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0B7E73"/>
    <w:tblPr>
      <w:tblStyleRowBandSize w:val="1"/>
      <w:tblStyleColBandSize w:val="1"/>
      <w:tblBorders>
        <w:top w:val="single" w:sz="8"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single" w:sz="8" w:space="0" w:color="1C4AF2" w:themeColor="accent1" w:themeTint="BF"/>
      </w:tblBorders>
    </w:tblPr>
    <w:tblStylePr w:type="firstRow">
      <w:pPr>
        <w:spacing w:before="0" w:after="0" w:line="240" w:lineRule="auto"/>
      </w:pPr>
      <w:rPr>
        <w:b/>
        <w:bCs/>
        <w:color w:val="FFFFFF" w:themeColor="background1"/>
      </w:rPr>
      <w:tblPr/>
      <w:tcPr>
        <w:tcBorders>
          <w:top w:val="single" w:sz="8"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nil"/>
          <w:insideV w:val="nil"/>
        </w:tcBorders>
        <w:shd w:val="clear" w:color="auto" w:fill="0A2FB5" w:themeFill="accent1"/>
      </w:tcPr>
    </w:tblStylePr>
    <w:tblStylePr w:type="lastRow">
      <w:pPr>
        <w:spacing w:before="0" w:after="0" w:line="240" w:lineRule="auto"/>
      </w:pPr>
      <w:rPr>
        <w:b/>
        <w:bCs/>
      </w:rPr>
      <w:tblPr/>
      <w:tcPr>
        <w:tcBorders>
          <w:top w:val="double" w:sz="6" w:space="0" w:color="1C4AF2" w:themeColor="accent1" w:themeTint="BF"/>
          <w:left w:val="single" w:sz="8" w:space="0" w:color="1C4AF2" w:themeColor="accent1" w:themeTint="BF"/>
          <w:bottom w:val="single" w:sz="8" w:space="0" w:color="1C4AF2" w:themeColor="accent1" w:themeTint="BF"/>
          <w:right w:val="single" w:sz="8" w:space="0" w:color="1C4AF2" w:themeColor="accent1" w:themeTint="BF"/>
          <w:insideH w:val="nil"/>
          <w:insideV w:val="nil"/>
        </w:tcBorders>
      </w:tcPr>
    </w:tblStylePr>
    <w:tblStylePr w:type="firstCol">
      <w:rPr>
        <w:b/>
        <w:bCs/>
      </w:rPr>
    </w:tblStylePr>
    <w:tblStylePr w:type="lastCol">
      <w:rPr>
        <w:b/>
        <w:bCs/>
      </w:rPr>
    </w:tblStylePr>
    <w:tblStylePr w:type="band1Vert">
      <w:tblPr/>
      <w:tcPr>
        <w:shd w:val="clear" w:color="auto" w:fill="B4C3FB" w:themeFill="accent1" w:themeFillTint="3F"/>
      </w:tcPr>
    </w:tblStylePr>
    <w:tblStylePr w:type="band1Horz">
      <w:tblPr/>
      <w:tcPr>
        <w:tcBorders>
          <w:insideH w:val="nil"/>
          <w:insideV w:val="nil"/>
        </w:tcBorders>
        <w:shd w:val="clear" w:color="auto" w:fill="B4C3F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0B7E73"/>
    <w:tblPr>
      <w:tblStyleRowBandSize w:val="1"/>
      <w:tblStyleColBandSize w:val="1"/>
      <w:tblBorders>
        <w:top w:val="single" w:sz="8"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single" w:sz="8" w:space="0" w:color="8000DF" w:themeColor="accent2" w:themeTint="BF"/>
      </w:tblBorders>
    </w:tblPr>
    <w:tblStylePr w:type="firstRow">
      <w:pPr>
        <w:spacing w:before="0" w:after="0" w:line="240" w:lineRule="auto"/>
      </w:pPr>
      <w:rPr>
        <w:b/>
        <w:bCs/>
        <w:color w:val="FFFFFF" w:themeColor="background1"/>
      </w:rPr>
      <w:tblPr/>
      <w:tcPr>
        <w:tcBorders>
          <w:top w:val="single" w:sz="8"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nil"/>
          <w:insideV w:val="nil"/>
        </w:tcBorders>
        <w:shd w:val="clear" w:color="auto" w:fill="4A0080" w:themeFill="accent2"/>
      </w:tcPr>
    </w:tblStylePr>
    <w:tblStylePr w:type="lastRow">
      <w:pPr>
        <w:spacing w:before="0" w:after="0" w:line="240" w:lineRule="auto"/>
      </w:pPr>
      <w:rPr>
        <w:b/>
        <w:bCs/>
      </w:rPr>
      <w:tblPr/>
      <w:tcPr>
        <w:tcBorders>
          <w:top w:val="double" w:sz="6" w:space="0" w:color="8000DF" w:themeColor="accent2" w:themeTint="BF"/>
          <w:left w:val="single" w:sz="8" w:space="0" w:color="8000DF" w:themeColor="accent2" w:themeTint="BF"/>
          <w:bottom w:val="single" w:sz="8" w:space="0" w:color="8000DF" w:themeColor="accent2" w:themeTint="BF"/>
          <w:right w:val="single" w:sz="8" w:space="0" w:color="8000D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6A0FF" w:themeFill="accent2" w:themeFillTint="3F"/>
      </w:tcPr>
    </w:tblStylePr>
    <w:tblStylePr w:type="band1Horz">
      <w:tblPr/>
      <w:tcPr>
        <w:tcBorders>
          <w:insideH w:val="nil"/>
          <w:insideV w:val="nil"/>
        </w:tcBorders>
        <w:shd w:val="clear" w:color="auto" w:fill="D6A0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0B7E73"/>
    <w:tblPr>
      <w:tblStyleRowBandSize w:val="1"/>
      <w:tblStyleColBandSize w:val="1"/>
      <w:tblBorders>
        <w:top w:val="single" w:sz="8"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single" w:sz="8" w:space="0" w:color="19BBE3" w:themeColor="accent3" w:themeTint="BF"/>
      </w:tblBorders>
    </w:tblPr>
    <w:tblStylePr w:type="firstRow">
      <w:pPr>
        <w:spacing w:before="0" w:after="0" w:line="240" w:lineRule="auto"/>
      </w:pPr>
      <w:rPr>
        <w:b/>
        <w:bCs/>
        <w:color w:val="FFFFFF" w:themeColor="background1"/>
      </w:rPr>
      <w:tblPr/>
      <w:tcPr>
        <w:tcBorders>
          <w:top w:val="single" w:sz="8"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nil"/>
          <w:insideV w:val="nil"/>
        </w:tcBorders>
        <w:shd w:val="clear" w:color="auto" w:fill="117C96" w:themeFill="accent3"/>
      </w:tcPr>
    </w:tblStylePr>
    <w:tblStylePr w:type="lastRow">
      <w:pPr>
        <w:spacing w:before="0" w:after="0" w:line="240" w:lineRule="auto"/>
      </w:pPr>
      <w:rPr>
        <w:b/>
        <w:bCs/>
      </w:rPr>
      <w:tblPr/>
      <w:tcPr>
        <w:tcBorders>
          <w:top w:val="double" w:sz="6" w:space="0" w:color="19BBE3" w:themeColor="accent3" w:themeTint="BF"/>
          <w:left w:val="single" w:sz="8" w:space="0" w:color="19BBE3" w:themeColor="accent3" w:themeTint="BF"/>
          <w:bottom w:val="single" w:sz="8" w:space="0" w:color="19BBE3" w:themeColor="accent3" w:themeTint="BF"/>
          <w:right w:val="single" w:sz="8" w:space="0" w:color="19BBE3" w:themeColor="accent3" w:themeTint="BF"/>
          <w:insideH w:val="nil"/>
          <w:insideV w:val="nil"/>
        </w:tcBorders>
      </w:tcPr>
    </w:tblStylePr>
    <w:tblStylePr w:type="firstCol">
      <w:rPr>
        <w:b/>
        <w:bCs/>
      </w:rPr>
    </w:tblStylePr>
    <w:tblStylePr w:type="lastCol">
      <w:rPr>
        <w:b/>
        <w:bCs/>
      </w:rPr>
    </w:tblStylePr>
    <w:tblStylePr w:type="band1Vert">
      <w:tblPr/>
      <w:tcPr>
        <w:shd w:val="clear" w:color="auto" w:fill="B2E9F6" w:themeFill="accent3" w:themeFillTint="3F"/>
      </w:tcPr>
    </w:tblStylePr>
    <w:tblStylePr w:type="band1Horz">
      <w:tblPr/>
      <w:tcPr>
        <w:tcBorders>
          <w:insideH w:val="nil"/>
          <w:insideV w:val="nil"/>
        </w:tcBorders>
        <w:shd w:val="clear" w:color="auto" w:fill="B2E9F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B7E73"/>
    <w:tblPr>
      <w:tblStyleRowBandSize w:val="1"/>
      <w:tblStyleColBandSize w:val="1"/>
      <w:tblBorders>
        <w:top w:val="single" w:sz="8"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single" w:sz="8" w:space="0" w:color="E9126B" w:themeColor="accent4" w:themeTint="BF"/>
      </w:tblBorders>
    </w:tblPr>
    <w:tblStylePr w:type="firstRow">
      <w:pPr>
        <w:spacing w:before="0" w:after="0" w:line="240" w:lineRule="auto"/>
      </w:pPr>
      <w:rPr>
        <w:b/>
        <w:bCs/>
        <w:color w:val="FFFFFF" w:themeColor="background1"/>
      </w:rPr>
      <w:tblPr/>
      <w:tcPr>
        <w:tcBorders>
          <w:top w:val="single" w:sz="8"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nil"/>
          <w:insideV w:val="nil"/>
        </w:tcBorders>
        <w:shd w:val="clear" w:color="auto" w:fill="990C47" w:themeFill="accent4"/>
      </w:tcPr>
    </w:tblStylePr>
    <w:tblStylePr w:type="lastRow">
      <w:pPr>
        <w:spacing w:before="0" w:after="0" w:line="240" w:lineRule="auto"/>
      </w:pPr>
      <w:rPr>
        <w:b/>
        <w:bCs/>
      </w:rPr>
      <w:tblPr/>
      <w:tcPr>
        <w:tcBorders>
          <w:top w:val="double" w:sz="6" w:space="0" w:color="E9126B" w:themeColor="accent4" w:themeTint="BF"/>
          <w:left w:val="single" w:sz="8" w:space="0" w:color="E9126B" w:themeColor="accent4" w:themeTint="BF"/>
          <w:bottom w:val="single" w:sz="8" w:space="0" w:color="E9126B" w:themeColor="accent4" w:themeTint="BF"/>
          <w:right w:val="single" w:sz="8" w:space="0" w:color="E9126B" w:themeColor="accent4" w:themeTint="BF"/>
          <w:insideH w:val="nil"/>
          <w:insideV w:val="nil"/>
        </w:tcBorders>
      </w:tcPr>
    </w:tblStylePr>
    <w:tblStylePr w:type="firstCol">
      <w:rPr>
        <w:b/>
        <w:bCs/>
      </w:rPr>
    </w:tblStylePr>
    <w:tblStylePr w:type="lastCol">
      <w:rPr>
        <w:b/>
        <w:bCs/>
      </w:rPr>
    </w:tblStylePr>
    <w:tblStylePr w:type="band1Vert">
      <w:tblPr/>
      <w:tcPr>
        <w:shd w:val="clear" w:color="auto" w:fill="F8AFCE" w:themeFill="accent4" w:themeFillTint="3F"/>
      </w:tcPr>
    </w:tblStylePr>
    <w:tblStylePr w:type="band1Horz">
      <w:tblPr/>
      <w:tcPr>
        <w:tcBorders>
          <w:insideH w:val="nil"/>
          <w:insideV w:val="nil"/>
        </w:tcBorders>
        <w:shd w:val="clear" w:color="auto" w:fill="F8AF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B7E73"/>
    <w:tblPr>
      <w:tblStyleRowBandSize w:val="1"/>
      <w:tblStyleColBandSize w:val="1"/>
      <w:tblBorders>
        <w:top w:val="single" w:sz="8"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single" w:sz="8" w:space="0" w:color="AFADAD" w:themeColor="accent5" w:themeTint="BF"/>
      </w:tblBorders>
    </w:tblPr>
    <w:tblStylePr w:type="firstRow">
      <w:pPr>
        <w:spacing w:before="0" w:after="0" w:line="240" w:lineRule="auto"/>
      </w:pPr>
      <w:rPr>
        <w:b/>
        <w:bCs/>
        <w:color w:val="FFFFFF" w:themeColor="background1"/>
      </w:rPr>
      <w:tblPr/>
      <w:tcPr>
        <w:tcBorders>
          <w:top w:val="single" w:sz="8"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nil"/>
          <w:insideV w:val="nil"/>
        </w:tcBorders>
        <w:shd w:val="clear" w:color="auto" w:fill="959392" w:themeFill="accent5"/>
      </w:tcPr>
    </w:tblStylePr>
    <w:tblStylePr w:type="lastRow">
      <w:pPr>
        <w:spacing w:before="0" w:after="0" w:line="240" w:lineRule="auto"/>
      </w:pPr>
      <w:rPr>
        <w:b/>
        <w:bCs/>
      </w:rPr>
      <w:tblPr/>
      <w:tcPr>
        <w:tcBorders>
          <w:top w:val="double" w:sz="6" w:space="0" w:color="AFADAD" w:themeColor="accent5" w:themeTint="BF"/>
          <w:left w:val="single" w:sz="8" w:space="0" w:color="AFADAD" w:themeColor="accent5" w:themeTint="BF"/>
          <w:bottom w:val="single" w:sz="8" w:space="0" w:color="AFADAD" w:themeColor="accent5" w:themeTint="BF"/>
          <w:right w:val="single" w:sz="8" w:space="0" w:color="AFADAD" w:themeColor="accent5" w:themeTint="BF"/>
          <w:insideH w:val="nil"/>
          <w:insideV w:val="nil"/>
        </w:tcBorders>
      </w:tcPr>
    </w:tblStylePr>
    <w:tblStylePr w:type="firstCol">
      <w:rPr>
        <w:b/>
        <w:bCs/>
      </w:rPr>
    </w:tblStylePr>
    <w:tblStylePr w:type="lastCol">
      <w:rPr>
        <w:b/>
        <w:bCs/>
      </w:rPr>
    </w:tblStylePr>
    <w:tblStylePr w:type="band1Vert">
      <w:tblPr/>
      <w:tcPr>
        <w:shd w:val="clear" w:color="auto" w:fill="E4E4E3" w:themeFill="accent5" w:themeFillTint="3F"/>
      </w:tcPr>
    </w:tblStylePr>
    <w:tblStylePr w:type="band1Horz">
      <w:tblPr/>
      <w:tcPr>
        <w:tcBorders>
          <w:insideH w:val="nil"/>
          <w:insideV w:val="nil"/>
        </w:tcBorders>
        <w:shd w:val="clear" w:color="auto" w:fill="E4E4E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B7E73"/>
    <w:tblPr>
      <w:tblStyleRowBandSize w:val="1"/>
      <w:tblStyleColBandSize w:val="1"/>
      <w:tblBorders>
        <w:top w:val="single" w:sz="8"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single" w:sz="8" w:space="0" w:color="827F7F" w:themeColor="accent6" w:themeTint="BF"/>
      </w:tblBorders>
    </w:tblPr>
    <w:tblStylePr w:type="firstRow">
      <w:pPr>
        <w:spacing w:before="0" w:after="0" w:line="240" w:lineRule="auto"/>
      </w:pPr>
      <w:rPr>
        <w:b/>
        <w:bCs/>
        <w:color w:val="FFFFFF" w:themeColor="background1"/>
      </w:rPr>
      <w:tblPr/>
      <w:tcPr>
        <w:tcBorders>
          <w:top w:val="single" w:sz="8"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nil"/>
          <w:insideV w:val="nil"/>
        </w:tcBorders>
        <w:shd w:val="clear" w:color="auto" w:fill="585656" w:themeFill="accent6"/>
      </w:tcPr>
    </w:tblStylePr>
    <w:tblStylePr w:type="lastRow">
      <w:pPr>
        <w:spacing w:before="0" w:after="0" w:line="240" w:lineRule="auto"/>
      </w:pPr>
      <w:rPr>
        <w:b/>
        <w:bCs/>
      </w:rPr>
      <w:tblPr/>
      <w:tcPr>
        <w:tcBorders>
          <w:top w:val="double" w:sz="6" w:space="0" w:color="827F7F" w:themeColor="accent6" w:themeTint="BF"/>
          <w:left w:val="single" w:sz="8" w:space="0" w:color="827F7F" w:themeColor="accent6" w:themeTint="BF"/>
          <w:bottom w:val="single" w:sz="8" w:space="0" w:color="827F7F" w:themeColor="accent6" w:themeTint="BF"/>
          <w:right w:val="single" w:sz="8" w:space="0" w:color="827F7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D4D4" w:themeFill="accent6" w:themeFillTint="3F"/>
      </w:tcPr>
    </w:tblStylePr>
    <w:tblStylePr w:type="band1Horz">
      <w:tblPr/>
      <w:tcPr>
        <w:tcBorders>
          <w:insideH w:val="nil"/>
          <w:insideV w:val="nil"/>
        </w:tcBorders>
        <w:shd w:val="clear" w:color="auto" w:fill="D5D4D4"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A2FB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A2FB5" w:themeFill="accent1"/>
      </w:tcPr>
    </w:tblStylePr>
    <w:tblStylePr w:type="lastCol">
      <w:rPr>
        <w:b/>
        <w:bCs/>
        <w:color w:val="FFFFFF" w:themeColor="background1"/>
      </w:rPr>
      <w:tblPr/>
      <w:tcPr>
        <w:tcBorders>
          <w:left w:val="nil"/>
          <w:right w:val="nil"/>
          <w:insideH w:val="nil"/>
          <w:insideV w:val="nil"/>
        </w:tcBorders>
        <w:shd w:val="clear" w:color="auto" w:fill="0A2FB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A008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A0080" w:themeFill="accent2"/>
      </w:tcPr>
    </w:tblStylePr>
    <w:tblStylePr w:type="lastCol">
      <w:rPr>
        <w:b/>
        <w:bCs/>
        <w:color w:val="FFFFFF" w:themeColor="background1"/>
      </w:rPr>
      <w:tblPr/>
      <w:tcPr>
        <w:tcBorders>
          <w:left w:val="nil"/>
          <w:right w:val="nil"/>
          <w:insideH w:val="nil"/>
          <w:insideV w:val="nil"/>
        </w:tcBorders>
        <w:shd w:val="clear" w:color="auto" w:fill="4A008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17C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17C96" w:themeFill="accent3"/>
      </w:tcPr>
    </w:tblStylePr>
    <w:tblStylePr w:type="lastCol">
      <w:rPr>
        <w:b/>
        <w:bCs/>
        <w:color w:val="FFFFFF" w:themeColor="background1"/>
      </w:rPr>
      <w:tblPr/>
      <w:tcPr>
        <w:tcBorders>
          <w:left w:val="nil"/>
          <w:right w:val="nil"/>
          <w:insideH w:val="nil"/>
          <w:insideV w:val="nil"/>
        </w:tcBorders>
        <w:shd w:val="clear" w:color="auto" w:fill="117C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90C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90C47" w:themeFill="accent4"/>
      </w:tcPr>
    </w:tblStylePr>
    <w:tblStylePr w:type="lastCol">
      <w:rPr>
        <w:b/>
        <w:bCs/>
        <w:color w:val="FFFFFF" w:themeColor="background1"/>
      </w:rPr>
      <w:tblPr/>
      <w:tcPr>
        <w:tcBorders>
          <w:left w:val="nil"/>
          <w:right w:val="nil"/>
          <w:insideH w:val="nil"/>
          <w:insideV w:val="nil"/>
        </w:tcBorders>
        <w:shd w:val="clear" w:color="auto" w:fill="990C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5939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59392" w:themeFill="accent5"/>
      </w:tcPr>
    </w:tblStylePr>
    <w:tblStylePr w:type="lastCol">
      <w:rPr>
        <w:b/>
        <w:bCs/>
        <w:color w:val="FFFFFF" w:themeColor="background1"/>
      </w:rPr>
      <w:tblPr/>
      <w:tcPr>
        <w:tcBorders>
          <w:left w:val="nil"/>
          <w:right w:val="nil"/>
          <w:insideH w:val="nil"/>
          <w:insideV w:val="nil"/>
        </w:tcBorders>
        <w:shd w:val="clear" w:color="auto" w:fill="95939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B7E7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565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5656" w:themeFill="accent6"/>
      </w:tcPr>
    </w:tblStylePr>
    <w:tblStylePr w:type="lastCol">
      <w:rPr>
        <w:b/>
        <w:bCs/>
        <w:color w:val="FFFFFF" w:themeColor="background1"/>
      </w:rPr>
      <w:tblPr/>
      <w:tcPr>
        <w:tcBorders>
          <w:left w:val="nil"/>
          <w:right w:val="nil"/>
          <w:insideH w:val="nil"/>
          <w:insideV w:val="nil"/>
        </w:tcBorders>
        <w:shd w:val="clear" w:color="auto" w:fill="58565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rsid w:val="000B7E7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0B7E73"/>
    <w:rPr>
      <w:rFonts w:asciiTheme="majorHAnsi" w:eastAsiaTheme="majorEastAsia" w:hAnsiTheme="majorHAnsi" w:cstheme="majorBidi"/>
      <w:sz w:val="24"/>
      <w:szCs w:val="24"/>
      <w:shd w:val="pct20" w:color="auto" w:fill="auto"/>
      <w:lang w:val="en-GB"/>
    </w:rPr>
  </w:style>
  <w:style w:type="paragraph" w:styleId="NoSpacing">
    <w:name w:val="No Spacing"/>
    <w:uiPriority w:val="1"/>
    <w:qFormat/>
    <w:rsid w:val="000B7E73"/>
    <w:rPr>
      <w:sz w:val="24"/>
      <w:szCs w:val="24"/>
    </w:rPr>
  </w:style>
  <w:style w:type="paragraph" w:styleId="NormalWeb">
    <w:name w:val="Normal (Web)"/>
    <w:basedOn w:val="Normal"/>
    <w:rsid w:val="000B7E73"/>
  </w:style>
  <w:style w:type="paragraph" w:styleId="NormalIndent">
    <w:name w:val="Normal Indent"/>
    <w:basedOn w:val="Normal"/>
    <w:rsid w:val="000B7E73"/>
    <w:pPr>
      <w:ind w:left="720"/>
    </w:pPr>
  </w:style>
  <w:style w:type="paragraph" w:styleId="NoteHeading">
    <w:name w:val="Note Heading"/>
    <w:basedOn w:val="Normal"/>
    <w:next w:val="Normal"/>
    <w:link w:val="NoteHeadingChar"/>
    <w:rsid w:val="000B7E73"/>
  </w:style>
  <w:style w:type="character" w:customStyle="1" w:styleId="NoteHeadingChar">
    <w:name w:val="Note Heading Char"/>
    <w:basedOn w:val="DefaultParagraphFont"/>
    <w:link w:val="NoteHeading"/>
    <w:rsid w:val="000B7E73"/>
    <w:rPr>
      <w:sz w:val="24"/>
      <w:szCs w:val="24"/>
      <w:lang w:val="en-GB"/>
    </w:rPr>
  </w:style>
  <w:style w:type="character" w:styleId="PlaceholderText">
    <w:name w:val="Placeholder Text"/>
    <w:basedOn w:val="DefaultParagraphFont"/>
    <w:uiPriority w:val="99"/>
    <w:semiHidden/>
    <w:rsid w:val="000B7E73"/>
    <w:rPr>
      <w:color w:val="808080"/>
      <w:lang w:val="en-GB"/>
    </w:rPr>
  </w:style>
  <w:style w:type="paragraph" w:styleId="PlainText">
    <w:name w:val="Plain Text"/>
    <w:basedOn w:val="Normal"/>
    <w:link w:val="PlainTextChar"/>
    <w:rsid w:val="000B7E73"/>
    <w:rPr>
      <w:rFonts w:ascii="Consolas" w:hAnsi="Consolas"/>
      <w:sz w:val="21"/>
      <w:szCs w:val="21"/>
    </w:rPr>
  </w:style>
  <w:style w:type="character" w:customStyle="1" w:styleId="PlainTextChar">
    <w:name w:val="Plain Text Char"/>
    <w:basedOn w:val="DefaultParagraphFont"/>
    <w:link w:val="PlainText"/>
    <w:rsid w:val="000B7E73"/>
    <w:rPr>
      <w:rFonts w:ascii="Consolas" w:hAnsi="Consolas"/>
      <w:sz w:val="21"/>
      <w:szCs w:val="21"/>
      <w:lang w:val="en-GB"/>
    </w:rPr>
  </w:style>
  <w:style w:type="paragraph" w:styleId="Quote">
    <w:name w:val="Quote"/>
    <w:basedOn w:val="Normal"/>
    <w:next w:val="Normal"/>
    <w:link w:val="QuoteChar"/>
    <w:uiPriority w:val="29"/>
    <w:rsid w:val="000B7E73"/>
    <w:rPr>
      <w:i/>
      <w:iCs/>
      <w:color w:val="000000" w:themeColor="text1"/>
    </w:rPr>
  </w:style>
  <w:style w:type="character" w:customStyle="1" w:styleId="QuoteChar">
    <w:name w:val="Quote Char"/>
    <w:basedOn w:val="DefaultParagraphFont"/>
    <w:link w:val="Quote"/>
    <w:uiPriority w:val="29"/>
    <w:rsid w:val="000B7E73"/>
    <w:rPr>
      <w:i/>
      <w:iCs/>
      <w:color w:val="000000" w:themeColor="text1"/>
      <w:sz w:val="24"/>
      <w:szCs w:val="24"/>
      <w:lang w:val="en-GB"/>
    </w:rPr>
  </w:style>
  <w:style w:type="paragraph" w:styleId="Salutation">
    <w:name w:val="Salutation"/>
    <w:basedOn w:val="Normal"/>
    <w:next w:val="Normal"/>
    <w:link w:val="SalutationChar"/>
    <w:rsid w:val="000B7E73"/>
  </w:style>
  <w:style w:type="character" w:customStyle="1" w:styleId="SalutationChar">
    <w:name w:val="Salutation Char"/>
    <w:basedOn w:val="DefaultParagraphFont"/>
    <w:link w:val="Salutation"/>
    <w:rsid w:val="000B7E73"/>
    <w:rPr>
      <w:sz w:val="24"/>
      <w:szCs w:val="24"/>
      <w:lang w:val="en-GB"/>
    </w:rPr>
  </w:style>
  <w:style w:type="paragraph" w:styleId="Signature">
    <w:name w:val="Signature"/>
    <w:basedOn w:val="Normal"/>
    <w:link w:val="SignatureChar"/>
    <w:rsid w:val="000B7E73"/>
    <w:pPr>
      <w:ind w:left="4320"/>
    </w:pPr>
  </w:style>
  <w:style w:type="character" w:customStyle="1" w:styleId="SignatureChar">
    <w:name w:val="Signature Char"/>
    <w:basedOn w:val="DefaultParagraphFont"/>
    <w:link w:val="Signature"/>
    <w:rsid w:val="000B7E73"/>
    <w:rPr>
      <w:sz w:val="24"/>
      <w:szCs w:val="24"/>
      <w:lang w:val="en-GB"/>
    </w:rPr>
  </w:style>
  <w:style w:type="character" w:styleId="Strong">
    <w:name w:val="Strong"/>
    <w:basedOn w:val="DefaultParagraphFont"/>
    <w:rsid w:val="000B7E73"/>
    <w:rPr>
      <w:b/>
      <w:bCs/>
      <w:lang w:val="en-GB"/>
    </w:rPr>
  </w:style>
  <w:style w:type="paragraph" w:styleId="Subtitle">
    <w:name w:val="Subtitle"/>
    <w:basedOn w:val="Normal"/>
    <w:next w:val="Normal"/>
    <w:link w:val="SubtitleChar"/>
    <w:rsid w:val="000B7E73"/>
    <w:pPr>
      <w:numPr>
        <w:ilvl w:val="1"/>
      </w:numPr>
    </w:pPr>
    <w:rPr>
      <w:rFonts w:asciiTheme="majorHAnsi" w:eastAsiaTheme="majorEastAsia" w:hAnsiTheme="majorHAnsi" w:cstheme="majorBidi"/>
      <w:i/>
      <w:iCs/>
      <w:color w:val="0A2FB5" w:themeColor="accent1"/>
      <w:spacing w:val="15"/>
    </w:rPr>
  </w:style>
  <w:style w:type="character" w:customStyle="1" w:styleId="SubtitleChar">
    <w:name w:val="Subtitle Char"/>
    <w:basedOn w:val="DefaultParagraphFont"/>
    <w:link w:val="Subtitle"/>
    <w:rsid w:val="000B7E73"/>
    <w:rPr>
      <w:rFonts w:asciiTheme="majorHAnsi" w:eastAsiaTheme="majorEastAsia" w:hAnsiTheme="majorHAnsi" w:cstheme="majorBidi"/>
      <w:i/>
      <w:iCs/>
      <w:color w:val="0A2FB5" w:themeColor="accent1"/>
      <w:spacing w:val="15"/>
      <w:sz w:val="24"/>
      <w:szCs w:val="24"/>
      <w:lang w:val="en-GB"/>
    </w:rPr>
  </w:style>
  <w:style w:type="character" w:styleId="SubtleEmphasis">
    <w:name w:val="Subtle Emphasis"/>
    <w:basedOn w:val="DefaultParagraphFont"/>
    <w:uiPriority w:val="19"/>
    <w:rsid w:val="000B7E73"/>
    <w:rPr>
      <w:i/>
      <w:iCs/>
      <w:color w:val="808080" w:themeColor="text1" w:themeTint="7F"/>
      <w:lang w:val="en-GB"/>
    </w:rPr>
  </w:style>
  <w:style w:type="character" w:styleId="SubtleReference">
    <w:name w:val="Subtle Reference"/>
    <w:basedOn w:val="DefaultParagraphFont"/>
    <w:uiPriority w:val="31"/>
    <w:rsid w:val="000B7E73"/>
    <w:rPr>
      <w:smallCaps/>
      <w:color w:val="4A0080" w:themeColor="accent2"/>
      <w:u w:val="single"/>
      <w:lang w:val="en-GB"/>
    </w:rPr>
  </w:style>
  <w:style w:type="table" w:styleId="Table3Deffects1">
    <w:name w:val="Table 3D effects 1"/>
    <w:basedOn w:val="TableNormal"/>
    <w:rsid w:val="000B7E7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B7E7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B7E7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B7E7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B7E7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B7E7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B7E7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B7E7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B7E7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B7E7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B7E7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B7E7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B7E7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B7E7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B7E7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B7E7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B7E7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B7E7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B7E7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B7E7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B7E7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B7E7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B7E7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B7E7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B7E7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B7E7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B7E7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B7E7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B7E7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B7E7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B7E7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B7E7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B7E7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0B7E73"/>
    <w:pPr>
      <w:ind w:left="240" w:hanging="240"/>
    </w:pPr>
  </w:style>
  <w:style w:type="paragraph" w:styleId="TableofFigures">
    <w:name w:val="table of figures"/>
    <w:basedOn w:val="Normal"/>
    <w:next w:val="Normal"/>
    <w:rsid w:val="000B7E73"/>
  </w:style>
  <w:style w:type="table" w:styleId="TableProfessional">
    <w:name w:val="Table Professional"/>
    <w:basedOn w:val="TableNormal"/>
    <w:rsid w:val="000B7E7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B7E7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B7E7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B7E7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B7E7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B7E7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B7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B7E7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B7E7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B7E7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next w:val="Normal"/>
    <w:link w:val="TitleChar"/>
    <w:uiPriority w:val="10"/>
    <w:rsid w:val="00D92C72"/>
    <w:rPr>
      <w:rFonts w:ascii="Georgia" w:eastAsiaTheme="majorEastAsia" w:hAnsi="Georgia" w:cstheme="majorBidi"/>
      <w:b/>
      <w:color w:val="002E5D"/>
      <w:sz w:val="44"/>
      <w:szCs w:val="56"/>
    </w:rPr>
  </w:style>
  <w:style w:type="character" w:customStyle="1" w:styleId="TitleChar">
    <w:name w:val="Title Char"/>
    <w:basedOn w:val="DefaultParagraphFont"/>
    <w:link w:val="Title"/>
    <w:uiPriority w:val="10"/>
    <w:rsid w:val="00D92C72"/>
    <w:rPr>
      <w:rFonts w:ascii="Georgia" w:eastAsiaTheme="majorEastAsia" w:hAnsi="Georgia" w:cstheme="majorBidi"/>
      <w:b/>
      <w:color w:val="002E5D"/>
      <w:sz w:val="44"/>
      <w:szCs w:val="56"/>
      <w:lang w:val="en-GB"/>
    </w:rPr>
  </w:style>
  <w:style w:type="paragraph" w:styleId="TOAHeading">
    <w:name w:val="toa heading"/>
    <w:basedOn w:val="Normal"/>
    <w:next w:val="Normal"/>
    <w:rsid w:val="000B7E73"/>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D92C72"/>
    <w:pPr>
      <w:tabs>
        <w:tab w:val="center" w:pos="7920"/>
      </w:tabs>
      <w:spacing w:after="200" w:line="340" w:lineRule="exact"/>
      <w:ind w:right="6120"/>
    </w:pPr>
    <w:rPr>
      <w:sz w:val="28"/>
    </w:rPr>
  </w:style>
  <w:style w:type="paragraph" w:styleId="TOC2">
    <w:name w:val="toc 2"/>
    <w:basedOn w:val="Normal"/>
    <w:next w:val="Normal"/>
    <w:autoRedefine/>
    <w:uiPriority w:val="99"/>
    <w:unhideWhenUsed/>
    <w:rsid w:val="004F56A7"/>
    <w:pPr>
      <w:ind w:left="240"/>
    </w:pPr>
  </w:style>
  <w:style w:type="paragraph" w:styleId="TOC3">
    <w:name w:val="toc 3"/>
    <w:basedOn w:val="Normal"/>
    <w:next w:val="Normal"/>
    <w:autoRedefine/>
    <w:uiPriority w:val="99"/>
    <w:unhideWhenUsed/>
    <w:rsid w:val="004F56A7"/>
    <w:pPr>
      <w:ind w:left="480"/>
    </w:pPr>
  </w:style>
  <w:style w:type="paragraph" w:styleId="TOC4">
    <w:name w:val="toc 4"/>
    <w:basedOn w:val="Normal"/>
    <w:next w:val="Normal"/>
    <w:autoRedefine/>
    <w:uiPriority w:val="99"/>
    <w:unhideWhenUsed/>
    <w:rsid w:val="004F56A7"/>
    <w:pPr>
      <w:ind w:left="720"/>
    </w:pPr>
  </w:style>
  <w:style w:type="paragraph" w:styleId="TOC5">
    <w:name w:val="toc 5"/>
    <w:basedOn w:val="Normal"/>
    <w:next w:val="Normal"/>
    <w:autoRedefine/>
    <w:rsid w:val="000B7E73"/>
    <w:pPr>
      <w:spacing w:after="100"/>
      <w:ind w:left="960"/>
    </w:pPr>
  </w:style>
  <w:style w:type="paragraph" w:styleId="TOC6">
    <w:name w:val="toc 6"/>
    <w:basedOn w:val="Normal"/>
    <w:next w:val="Normal"/>
    <w:autoRedefine/>
    <w:rsid w:val="000B7E73"/>
    <w:pPr>
      <w:spacing w:after="100"/>
      <w:ind w:left="1200"/>
    </w:pPr>
  </w:style>
  <w:style w:type="paragraph" w:styleId="TOC7">
    <w:name w:val="toc 7"/>
    <w:basedOn w:val="Normal"/>
    <w:next w:val="Normal"/>
    <w:autoRedefine/>
    <w:rsid w:val="000B7E73"/>
    <w:pPr>
      <w:spacing w:after="100"/>
      <w:ind w:left="1440"/>
    </w:pPr>
  </w:style>
  <w:style w:type="paragraph" w:styleId="TOC8">
    <w:name w:val="toc 8"/>
    <w:basedOn w:val="Normal"/>
    <w:next w:val="Normal"/>
    <w:autoRedefine/>
    <w:rsid w:val="000B7E73"/>
    <w:pPr>
      <w:spacing w:after="100"/>
      <w:ind w:left="1680"/>
    </w:pPr>
  </w:style>
  <w:style w:type="paragraph" w:styleId="TOC9">
    <w:name w:val="toc 9"/>
    <w:basedOn w:val="Normal"/>
    <w:next w:val="Normal"/>
    <w:autoRedefine/>
    <w:rsid w:val="000B7E73"/>
    <w:pPr>
      <w:spacing w:after="100"/>
      <w:ind w:left="1920"/>
    </w:pPr>
  </w:style>
  <w:style w:type="paragraph" w:styleId="TOCHeading">
    <w:name w:val="TOC Heading"/>
    <w:basedOn w:val="Heading1"/>
    <w:next w:val="Normal"/>
    <w:uiPriority w:val="39"/>
    <w:semiHidden/>
    <w:unhideWhenUsed/>
    <w:rsid w:val="000B7E73"/>
    <w:pPr>
      <w:outlineLvl w:val="9"/>
    </w:pPr>
  </w:style>
  <w:style w:type="character" w:customStyle="1" w:styleId="Hidden">
    <w:name w:val="Hidden"/>
    <w:basedOn w:val="DefaultParagraphFont"/>
    <w:uiPriority w:val="1"/>
    <w:rsid w:val="00A27834"/>
    <w:rPr>
      <w:vanish/>
      <w:color w:val="FF0000"/>
      <w:sz w:val="16"/>
      <w:szCs w:val="16"/>
      <w:lang w:val="en-GB"/>
    </w:rPr>
  </w:style>
  <w:style w:type="paragraph" w:customStyle="1" w:styleId="HeaderText1">
    <w:name w:val="HeaderText1"/>
    <w:basedOn w:val="Heading1"/>
    <w:next w:val="BodyText"/>
    <w:link w:val="HeaderText1Char"/>
    <w:uiPriority w:val="11"/>
    <w:rsid w:val="00604B62"/>
    <w:pPr>
      <w:keepNext w:val="0"/>
      <w:overflowPunct w:val="0"/>
      <w:autoSpaceDE w:val="0"/>
      <w:autoSpaceDN w:val="0"/>
      <w:adjustRightInd w:val="0"/>
      <w:textAlignment w:val="baseline"/>
      <w:outlineLvl w:val="9"/>
    </w:pPr>
    <w:rPr>
      <w:b/>
      <w:color w:val="0A2FB5" w:themeColor="accent1"/>
      <w:sz w:val="32"/>
    </w:rPr>
  </w:style>
  <w:style w:type="paragraph" w:customStyle="1" w:styleId="RRAText">
    <w:name w:val="RRAText"/>
    <w:basedOn w:val="Normal"/>
    <w:locked/>
    <w:rsid w:val="009D1AD1"/>
    <w:pPr>
      <w:tabs>
        <w:tab w:val="right" w:pos="9840"/>
      </w:tabs>
      <w:overflowPunct w:val="0"/>
      <w:autoSpaceDE w:val="0"/>
      <w:autoSpaceDN w:val="0"/>
      <w:adjustRightInd w:val="0"/>
      <w:spacing w:after="120" w:line="240" w:lineRule="auto"/>
      <w:textAlignment w:val="baseline"/>
    </w:pPr>
    <w:rPr>
      <w:rFonts w:ascii="Times New Roman" w:eastAsia="MS PGothic" w:hAnsi="Times New Roman"/>
      <w:sz w:val="24"/>
      <w:szCs w:val="24"/>
    </w:rPr>
  </w:style>
  <w:style w:type="paragraph" w:customStyle="1" w:styleId="RRATextBullet">
    <w:name w:val="RRATextBullet"/>
    <w:basedOn w:val="RRAText"/>
    <w:autoRedefine/>
    <w:rsid w:val="009D1AD1"/>
    <w:pPr>
      <w:tabs>
        <w:tab w:val="clear" w:pos="9840"/>
        <w:tab w:val="num" w:pos="360"/>
      </w:tabs>
      <w:ind w:left="360" w:hanging="360"/>
      <w:contextualSpacing/>
    </w:pPr>
  </w:style>
  <w:style w:type="character" w:customStyle="1" w:styleId="FooterChar">
    <w:name w:val="Footer Char"/>
    <w:basedOn w:val="DefaultParagraphFont"/>
    <w:link w:val="Footer"/>
    <w:uiPriority w:val="99"/>
    <w:locked/>
    <w:rsid w:val="003A75C4"/>
    <w:rPr>
      <w:rFonts w:ascii="Calibri" w:eastAsia="Times New Roman" w:hAnsi="Calibri" w:cs="Arial"/>
      <w:color w:val="828284"/>
      <w:sz w:val="22"/>
      <w:szCs w:val="16"/>
      <w:lang w:val="en-GB"/>
    </w:rPr>
  </w:style>
  <w:style w:type="paragraph" w:customStyle="1" w:styleId="Headerline">
    <w:name w:val="Header line"/>
    <w:basedOn w:val="BodyText"/>
    <w:autoRedefine/>
    <w:rsid w:val="00F23E6C"/>
    <w:pPr>
      <w:pBdr>
        <w:top w:val="single" w:sz="6" w:space="1" w:color="auto"/>
      </w:pBdr>
      <w:spacing w:line="240" w:lineRule="auto"/>
    </w:pPr>
    <w:rPr>
      <w:color w:val="000000" w:themeColor="text1"/>
      <w:sz w:val="2"/>
      <w:szCs w:val="2"/>
    </w:rPr>
  </w:style>
  <w:style w:type="paragraph" w:customStyle="1" w:styleId="HeaderLine2">
    <w:name w:val="Header Line 2"/>
    <w:basedOn w:val="Headerline"/>
    <w:rsid w:val="00F1404B"/>
  </w:style>
  <w:style w:type="paragraph" w:customStyle="1" w:styleId="HeaderTitle">
    <w:name w:val="Header Title"/>
    <w:basedOn w:val="HeaderText1"/>
    <w:link w:val="HeaderTitleChar"/>
    <w:qFormat/>
    <w:rsid w:val="00A726DE"/>
    <w:rPr>
      <w:b w:val="0"/>
      <w:color w:val="auto"/>
      <w:sz w:val="40"/>
    </w:rPr>
  </w:style>
  <w:style w:type="character" w:customStyle="1" w:styleId="HeaderText1Char">
    <w:name w:val="HeaderText1 Char"/>
    <w:basedOn w:val="Heading1Char"/>
    <w:link w:val="HeaderText1"/>
    <w:uiPriority w:val="11"/>
    <w:rsid w:val="006A21DA"/>
    <w:rPr>
      <w:rFonts w:asciiTheme="majorHAnsi" w:eastAsiaTheme="minorHAnsi" w:hAnsiTheme="majorHAnsi" w:cs="Arial"/>
      <w:b/>
      <w:bCs/>
      <w:color w:val="0A2FB5" w:themeColor="accent1"/>
      <w:sz w:val="32"/>
      <w:szCs w:val="80"/>
      <w:lang w:val="en-GB"/>
    </w:rPr>
  </w:style>
  <w:style w:type="character" w:customStyle="1" w:styleId="HeaderTitleChar">
    <w:name w:val="Header Title Char"/>
    <w:basedOn w:val="HeaderText1Char"/>
    <w:link w:val="HeaderTitle"/>
    <w:rsid w:val="00A726DE"/>
    <w:rPr>
      <w:rFonts w:asciiTheme="majorHAnsi" w:eastAsiaTheme="minorHAnsi" w:hAnsiTheme="majorHAnsi" w:cs="Arial"/>
      <w:b w:val="0"/>
      <w:bCs/>
      <w:color w:val="0A2FB5" w:themeColor="accent1"/>
      <w:sz w:val="40"/>
      <w:szCs w:val="80"/>
      <w:lang w:val="en-GB"/>
    </w:rPr>
  </w:style>
  <w:style w:type="table" w:customStyle="1" w:styleId="TableGrid10">
    <w:name w:val="Table Grid1"/>
    <w:basedOn w:val="TableNormal"/>
    <w:next w:val="TableGrid"/>
    <w:rsid w:val="008B7337"/>
    <w:pPr>
      <w:overflowPunct w:val="0"/>
      <w:autoSpaceDE w:val="0"/>
      <w:autoSpaceDN w:val="0"/>
      <w:adjustRightInd w:val="0"/>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704D2"/>
  </w:style>
  <w:style w:type="character" w:styleId="UnresolvedMention">
    <w:name w:val="Unresolved Mention"/>
    <w:basedOn w:val="DefaultParagraphFont"/>
    <w:uiPriority w:val="99"/>
    <w:semiHidden/>
    <w:unhideWhenUsed/>
    <w:rsid w:val="00765283"/>
    <w:rPr>
      <w:color w:val="605E5C"/>
      <w:shd w:val="clear" w:color="auto" w:fill="E1DFDD"/>
    </w:rPr>
  </w:style>
  <w:style w:type="character" w:customStyle="1" w:styleId="ui-provider">
    <w:name w:val="ui-provider"/>
    <w:basedOn w:val="DefaultParagraphFont"/>
    <w:rsid w:val="00690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7574">
      <w:bodyDiv w:val="1"/>
      <w:marLeft w:val="0"/>
      <w:marRight w:val="0"/>
      <w:marTop w:val="0"/>
      <w:marBottom w:val="0"/>
      <w:divBdr>
        <w:top w:val="none" w:sz="0" w:space="0" w:color="auto"/>
        <w:left w:val="none" w:sz="0" w:space="0" w:color="auto"/>
        <w:bottom w:val="none" w:sz="0" w:space="0" w:color="auto"/>
        <w:right w:val="none" w:sz="0" w:space="0" w:color="auto"/>
      </w:divBdr>
    </w:div>
    <w:div w:id="74908449">
      <w:bodyDiv w:val="1"/>
      <w:marLeft w:val="0"/>
      <w:marRight w:val="0"/>
      <w:marTop w:val="0"/>
      <w:marBottom w:val="0"/>
      <w:divBdr>
        <w:top w:val="none" w:sz="0" w:space="0" w:color="auto"/>
        <w:left w:val="none" w:sz="0" w:space="0" w:color="auto"/>
        <w:bottom w:val="none" w:sz="0" w:space="0" w:color="auto"/>
        <w:right w:val="none" w:sz="0" w:space="0" w:color="auto"/>
      </w:divBdr>
    </w:div>
    <w:div w:id="113250796">
      <w:bodyDiv w:val="1"/>
      <w:marLeft w:val="0"/>
      <w:marRight w:val="0"/>
      <w:marTop w:val="0"/>
      <w:marBottom w:val="0"/>
      <w:divBdr>
        <w:top w:val="none" w:sz="0" w:space="0" w:color="auto"/>
        <w:left w:val="none" w:sz="0" w:space="0" w:color="auto"/>
        <w:bottom w:val="none" w:sz="0" w:space="0" w:color="auto"/>
        <w:right w:val="none" w:sz="0" w:space="0" w:color="auto"/>
      </w:divBdr>
    </w:div>
    <w:div w:id="149948225">
      <w:bodyDiv w:val="1"/>
      <w:marLeft w:val="0"/>
      <w:marRight w:val="0"/>
      <w:marTop w:val="0"/>
      <w:marBottom w:val="0"/>
      <w:divBdr>
        <w:top w:val="none" w:sz="0" w:space="0" w:color="auto"/>
        <w:left w:val="none" w:sz="0" w:space="0" w:color="auto"/>
        <w:bottom w:val="none" w:sz="0" w:space="0" w:color="auto"/>
        <w:right w:val="none" w:sz="0" w:space="0" w:color="auto"/>
      </w:divBdr>
    </w:div>
    <w:div w:id="154029345">
      <w:bodyDiv w:val="1"/>
      <w:marLeft w:val="0"/>
      <w:marRight w:val="0"/>
      <w:marTop w:val="0"/>
      <w:marBottom w:val="0"/>
      <w:divBdr>
        <w:top w:val="none" w:sz="0" w:space="0" w:color="auto"/>
        <w:left w:val="none" w:sz="0" w:space="0" w:color="auto"/>
        <w:bottom w:val="none" w:sz="0" w:space="0" w:color="auto"/>
        <w:right w:val="none" w:sz="0" w:space="0" w:color="auto"/>
      </w:divBdr>
    </w:div>
    <w:div w:id="161314444">
      <w:bodyDiv w:val="1"/>
      <w:marLeft w:val="0"/>
      <w:marRight w:val="0"/>
      <w:marTop w:val="0"/>
      <w:marBottom w:val="0"/>
      <w:divBdr>
        <w:top w:val="none" w:sz="0" w:space="0" w:color="auto"/>
        <w:left w:val="none" w:sz="0" w:space="0" w:color="auto"/>
        <w:bottom w:val="none" w:sz="0" w:space="0" w:color="auto"/>
        <w:right w:val="none" w:sz="0" w:space="0" w:color="auto"/>
      </w:divBdr>
    </w:div>
    <w:div w:id="358432840">
      <w:bodyDiv w:val="1"/>
      <w:marLeft w:val="0"/>
      <w:marRight w:val="0"/>
      <w:marTop w:val="0"/>
      <w:marBottom w:val="0"/>
      <w:divBdr>
        <w:top w:val="none" w:sz="0" w:space="0" w:color="auto"/>
        <w:left w:val="none" w:sz="0" w:space="0" w:color="auto"/>
        <w:bottom w:val="none" w:sz="0" w:space="0" w:color="auto"/>
        <w:right w:val="none" w:sz="0" w:space="0" w:color="auto"/>
      </w:divBdr>
    </w:div>
    <w:div w:id="378238723">
      <w:bodyDiv w:val="1"/>
      <w:marLeft w:val="0"/>
      <w:marRight w:val="0"/>
      <w:marTop w:val="0"/>
      <w:marBottom w:val="0"/>
      <w:divBdr>
        <w:top w:val="none" w:sz="0" w:space="0" w:color="auto"/>
        <w:left w:val="none" w:sz="0" w:space="0" w:color="auto"/>
        <w:bottom w:val="none" w:sz="0" w:space="0" w:color="auto"/>
        <w:right w:val="none" w:sz="0" w:space="0" w:color="auto"/>
      </w:divBdr>
    </w:div>
    <w:div w:id="806824463">
      <w:bodyDiv w:val="1"/>
      <w:marLeft w:val="0"/>
      <w:marRight w:val="0"/>
      <w:marTop w:val="0"/>
      <w:marBottom w:val="0"/>
      <w:divBdr>
        <w:top w:val="none" w:sz="0" w:space="0" w:color="auto"/>
        <w:left w:val="none" w:sz="0" w:space="0" w:color="auto"/>
        <w:bottom w:val="none" w:sz="0" w:space="0" w:color="auto"/>
        <w:right w:val="none" w:sz="0" w:space="0" w:color="auto"/>
      </w:divBdr>
    </w:div>
    <w:div w:id="869758370">
      <w:bodyDiv w:val="1"/>
      <w:marLeft w:val="0"/>
      <w:marRight w:val="0"/>
      <w:marTop w:val="0"/>
      <w:marBottom w:val="0"/>
      <w:divBdr>
        <w:top w:val="none" w:sz="0" w:space="0" w:color="auto"/>
        <w:left w:val="none" w:sz="0" w:space="0" w:color="auto"/>
        <w:bottom w:val="none" w:sz="0" w:space="0" w:color="auto"/>
        <w:right w:val="none" w:sz="0" w:space="0" w:color="auto"/>
      </w:divBdr>
    </w:div>
    <w:div w:id="896014386">
      <w:bodyDiv w:val="1"/>
      <w:marLeft w:val="0"/>
      <w:marRight w:val="0"/>
      <w:marTop w:val="0"/>
      <w:marBottom w:val="0"/>
      <w:divBdr>
        <w:top w:val="none" w:sz="0" w:space="0" w:color="auto"/>
        <w:left w:val="none" w:sz="0" w:space="0" w:color="auto"/>
        <w:bottom w:val="none" w:sz="0" w:space="0" w:color="auto"/>
        <w:right w:val="none" w:sz="0" w:space="0" w:color="auto"/>
      </w:divBdr>
    </w:div>
    <w:div w:id="983000427">
      <w:bodyDiv w:val="1"/>
      <w:marLeft w:val="0"/>
      <w:marRight w:val="0"/>
      <w:marTop w:val="0"/>
      <w:marBottom w:val="0"/>
      <w:divBdr>
        <w:top w:val="none" w:sz="0" w:space="0" w:color="auto"/>
        <w:left w:val="none" w:sz="0" w:space="0" w:color="auto"/>
        <w:bottom w:val="none" w:sz="0" w:space="0" w:color="auto"/>
        <w:right w:val="none" w:sz="0" w:space="0" w:color="auto"/>
      </w:divBdr>
    </w:div>
    <w:div w:id="1074200863">
      <w:bodyDiv w:val="1"/>
      <w:marLeft w:val="0"/>
      <w:marRight w:val="0"/>
      <w:marTop w:val="0"/>
      <w:marBottom w:val="0"/>
      <w:divBdr>
        <w:top w:val="none" w:sz="0" w:space="0" w:color="auto"/>
        <w:left w:val="none" w:sz="0" w:space="0" w:color="auto"/>
        <w:bottom w:val="none" w:sz="0" w:space="0" w:color="auto"/>
        <w:right w:val="none" w:sz="0" w:space="0" w:color="auto"/>
      </w:divBdr>
    </w:div>
    <w:div w:id="1133719023">
      <w:bodyDiv w:val="1"/>
      <w:marLeft w:val="0"/>
      <w:marRight w:val="0"/>
      <w:marTop w:val="0"/>
      <w:marBottom w:val="0"/>
      <w:divBdr>
        <w:top w:val="none" w:sz="0" w:space="0" w:color="auto"/>
        <w:left w:val="none" w:sz="0" w:space="0" w:color="auto"/>
        <w:bottom w:val="none" w:sz="0" w:space="0" w:color="auto"/>
        <w:right w:val="none" w:sz="0" w:space="0" w:color="auto"/>
      </w:divBdr>
    </w:div>
    <w:div w:id="1144204534">
      <w:bodyDiv w:val="1"/>
      <w:marLeft w:val="0"/>
      <w:marRight w:val="0"/>
      <w:marTop w:val="0"/>
      <w:marBottom w:val="0"/>
      <w:divBdr>
        <w:top w:val="none" w:sz="0" w:space="0" w:color="auto"/>
        <w:left w:val="none" w:sz="0" w:space="0" w:color="auto"/>
        <w:bottom w:val="none" w:sz="0" w:space="0" w:color="auto"/>
        <w:right w:val="none" w:sz="0" w:space="0" w:color="auto"/>
      </w:divBdr>
    </w:div>
    <w:div w:id="1621303199">
      <w:bodyDiv w:val="1"/>
      <w:marLeft w:val="0"/>
      <w:marRight w:val="0"/>
      <w:marTop w:val="0"/>
      <w:marBottom w:val="0"/>
      <w:divBdr>
        <w:top w:val="none" w:sz="0" w:space="0" w:color="auto"/>
        <w:left w:val="none" w:sz="0" w:space="0" w:color="auto"/>
        <w:bottom w:val="none" w:sz="0" w:space="0" w:color="auto"/>
        <w:right w:val="none" w:sz="0" w:space="0" w:color="auto"/>
      </w:divBdr>
    </w:div>
    <w:div w:id="1725981301">
      <w:bodyDiv w:val="1"/>
      <w:marLeft w:val="0"/>
      <w:marRight w:val="0"/>
      <w:marTop w:val="0"/>
      <w:marBottom w:val="0"/>
      <w:divBdr>
        <w:top w:val="none" w:sz="0" w:space="0" w:color="auto"/>
        <w:left w:val="none" w:sz="0" w:space="0" w:color="auto"/>
        <w:bottom w:val="none" w:sz="0" w:space="0" w:color="auto"/>
        <w:right w:val="none" w:sz="0" w:space="0" w:color="auto"/>
      </w:divBdr>
    </w:div>
    <w:div w:id="1771966367">
      <w:bodyDiv w:val="1"/>
      <w:marLeft w:val="0"/>
      <w:marRight w:val="0"/>
      <w:marTop w:val="0"/>
      <w:marBottom w:val="0"/>
      <w:divBdr>
        <w:top w:val="none" w:sz="0" w:space="0" w:color="auto"/>
        <w:left w:val="none" w:sz="0" w:space="0" w:color="auto"/>
        <w:bottom w:val="none" w:sz="0" w:space="0" w:color="auto"/>
        <w:right w:val="none" w:sz="0" w:space="0" w:color="auto"/>
      </w:divBdr>
    </w:div>
    <w:div w:id="1814909917">
      <w:bodyDiv w:val="1"/>
      <w:marLeft w:val="0"/>
      <w:marRight w:val="0"/>
      <w:marTop w:val="0"/>
      <w:marBottom w:val="0"/>
      <w:divBdr>
        <w:top w:val="none" w:sz="0" w:space="0" w:color="auto"/>
        <w:left w:val="none" w:sz="0" w:space="0" w:color="auto"/>
        <w:bottom w:val="none" w:sz="0" w:space="0" w:color="auto"/>
        <w:right w:val="none" w:sz="0" w:space="0" w:color="auto"/>
      </w:divBdr>
    </w:div>
    <w:div w:id="2034186621">
      <w:bodyDiv w:val="1"/>
      <w:marLeft w:val="0"/>
      <w:marRight w:val="0"/>
      <w:marTop w:val="0"/>
      <w:marBottom w:val="0"/>
      <w:divBdr>
        <w:top w:val="none" w:sz="0" w:space="0" w:color="auto"/>
        <w:left w:val="none" w:sz="0" w:space="0" w:color="auto"/>
        <w:bottom w:val="none" w:sz="0" w:space="0" w:color="auto"/>
        <w:right w:val="none" w:sz="0" w:space="0" w:color="auto"/>
      </w:divBdr>
    </w:div>
    <w:div w:id="2071727857">
      <w:bodyDiv w:val="1"/>
      <w:marLeft w:val="0"/>
      <w:marRight w:val="0"/>
      <w:marTop w:val="0"/>
      <w:marBottom w:val="0"/>
      <w:divBdr>
        <w:top w:val="none" w:sz="0" w:space="0" w:color="auto"/>
        <w:left w:val="none" w:sz="0" w:space="0" w:color="auto"/>
        <w:bottom w:val="none" w:sz="0" w:space="0" w:color="auto"/>
        <w:right w:val="none" w:sz="0" w:space="0" w:color="auto"/>
      </w:divBdr>
    </w:div>
    <w:div w:id="207762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british-business-bank.co.uk/business-guidance"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urldefense.com/v3/__https:/gbr01.safelinks.protection.outlook.com/?url=https*3A*2F*2Fpublicappointments.cabinetoffice.gov.uk*2Fwp-content*2Fuploads*2F2020*2F12*2FUKGI-Privacy-Notice-for-Public-Appointment-Applicants-Jan-2020-1.pdf&amp;data=05*7C01*7CHarry.Coombe*40ukgi.org.uk*7Cefc611b18fd04556695908daf48b92a1*7Ced1644c505e049e6bc39fcf7ac51c18c*7C0*7C0*7C638091177534002748*7CUnknown*7CTWFpbGZsb3d8eyJWIjoiMC4wLjAwMDAiLCJQIjoiV2luMzIiLCJBTiI6Ik1haWwiLCJXVCI6Mn0*3D*7C3000*7C*7C*7C&amp;sdata=LNdHlBUdq2buzYY3FvD3Eh3WXZK8FUHtd8GuY2CcrxI*3D&amp;reserved=0__;JSUlJSUlJSUlJSUlJSUlJSUlJSUlJSUl!!KS4B30FN5nQiOoE!UEF2OqT8fRP1xPOsI2ImZ3mFieRPhCX1IY5gUShabWyUaogL6D603m0g__pqP7SCIr_FU09aAwvjZFcITAg9B1VdSVD90-nfiw$"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responses@russellreynolds.com"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forms.office.com/Pages/ResponsePage.aspx?id=rCgl_lJPCUmexPD96nG3cd4LOBVHyNRJjxxup_R3hI1UNTlWSlpIODk1VEY4UjlDNlZEWVAwMUlUTS4u" TargetMode="External"/><Relationship Id="rId28" Type="http://schemas.openxmlformats.org/officeDocument/2006/relationships/header" Target="header5.xml"/><Relationship Id="rId10" Type="http://schemas.openxmlformats.org/officeDocument/2006/relationships/styles" Target="styles.xml"/><Relationship Id="rId19" Type="http://schemas.openxmlformats.org/officeDocument/2006/relationships/header" Target="header3.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responses@russellreynolds.com" TargetMode="External"/><Relationship Id="rId27" Type="http://schemas.openxmlformats.org/officeDocument/2006/relationships/footer" Target="footer4.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_rels/header5.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1BF287380B4DB4944712C1ECD62B55"/>
        <w:category>
          <w:name w:val="General"/>
          <w:gallery w:val="placeholder"/>
        </w:category>
        <w:types>
          <w:type w:val="bbPlcHdr"/>
        </w:types>
        <w:behaviors>
          <w:behavior w:val="content"/>
        </w:behaviors>
        <w:guid w:val="{5ED1FA0D-AC83-4830-8D95-190DCBD722D5}"/>
      </w:docPartPr>
      <w:docPartBody>
        <w:p w:rsidR="007971FF" w:rsidRDefault="00C6340F" w:rsidP="00C6340F">
          <w:pPr>
            <w:pStyle w:val="351BF287380B4DB4944712C1ECD62B55"/>
          </w:pPr>
          <w:r w:rsidRPr="00186591">
            <w:rPr>
              <w:rStyle w:val="PlaceholderText"/>
            </w:rPr>
            <w:t>Click or tap here to enter text.</w:t>
          </w:r>
        </w:p>
      </w:docPartBody>
    </w:docPart>
    <w:docPart>
      <w:docPartPr>
        <w:name w:val="A1A6E42CB63640CBA0732C1B2538655F"/>
        <w:category>
          <w:name w:val="General"/>
          <w:gallery w:val="placeholder"/>
        </w:category>
        <w:types>
          <w:type w:val="bbPlcHdr"/>
        </w:types>
        <w:behaviors>
          <w:behavior w:val="content"/>
        </w:behaviors>
        <w:guid w:val="{7D5B248F-7A07-4E43-BB05-C5FF1E0A0D3B}"/>
      </w:docPartPr>
      <w:docPartBody>
        <w:p w:rsidR="007971FF" w:rsidRDefault="00C6340F" w:rsidP="00C6340F">
          <w:pPr>
            <w:pStyle w:val="A1A6E42CB63640CBA0732C1B2538655F"/>
          </w:pPr>
          <w:r w:rsidRPr="0018659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Kokila">
    <w:charset w:val="01"/>
    <w:family w:val="auto"/>
    <w:pitch w:val="variable"/>
    <w:sig w:usb0="00008000" w:usb1="00000000" w:usb2="00000000" w:usb3="00000000" w:csb0="0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DB4"/>
    <w:rsid w:val="0000567D"/>
    <w:rsid w:val="00007AA1"/>
    <w:rsid w:val="000115FB"/>
    <w:rsid w:val="00020657"/>
    <w:rsid w:val="00072EC9"/>
    <w:rsid w:val="001557B7"/>
    <w:rsid w:val="001B3CE9"/>
    <w:rsid w:val="001E67F1"/>
    <w:rsid w:val="00251EBF"/>
    <w:rsid w:val="002F42FF"/>
    <w:rsid w:val="0031690B"/>
    <w:rsid w:val="003234DA"/>
    <w:rsid w:val="00376ACA"/>
    <w:rsid w:val="003A3B59"/>
    <w:rsid w:val="00407D63"/>
    <w:rsid w:val="004538C4"/>
    <w:rsid w:val="00463B98"/>
    <w:rsid w:val="00572A6D"/>
    <w:rsid w:val="005B45A1"/>
    <w:rsid w:val="005D112C"/>
    <w:rsid w:val="005E1557"/>
    <w:rsid w:val="00612CCA"/>
    <w:rsid w:val="006D09A1"/>
    <w:rsid w:val="00734736"/>
    <w:rsid w:val="00762AFD"/>
    <w:rsid w:val="007971FF"/>
    <w:rsid w:val="007F6015"/>
    <w:rsid w:val="008005CD"/>
    <w:rsid w:val="0082593D"/>
    <w:rsid w:val="008C5119"/>
    <w:rsid w:val="00923C94"/>
    <w:rsid w:val="00946240"/>
    <w:rsid w:val="009846D7"/>
    <w:rsid w:val="00A3621D"/>
    <w:rsid w:val="00AA4D56"/>
    <w:rsid w:val="00B038D7"/>
    <w:rsid w:val="00B43026"/>
    <w:rsid w:val="00C6340F"/>
    <w:rsid w:val="00C955E0"/>
    <w:rsid w:val="00CD4E43"/>
    <w:rsid w:val="00D55BB1"/>
    <w:rsid w:val="00DC06B8"/>
    <w:rsid w:val="00DE6DB4"/>
    <w:rsid w:val="00E456CB"/>
    <w:rsid w:val="00E91282"/>
    <w:rsid w:val="00FA560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C6340F"/>
  </w:style>
  <w:style w:type="paragraph" w:customStyle="1" w:styleId="351BF287380B4DB4944712C1ECD62B55">
    <w:name w:val="351BF287380B4DB4944712C1ECD62B55"/>
    <w:rsid w:val="00C6340F"/>
    <w:rPr>
      <w:rFonts w:cs="Kokila"/>
      <w:kern w:val="2"/>
      <w:szCs w:val="20"/>
      <w:lang w:val="en-GB" w:eastAsia="zh-CN" w:bidi="hi-IN"/>
      <w14:ligatures w14:val="standardContextual"/>
    </w:rPr>
  </w:style>
  <w:style w:type="paragraph" w:customStyle="1" w:styleId="A1A6E42CB63640CBA0732C1B2538655F">
    <w:name w:val="A1A6E42CB63640CBA0732C1B2538655F"/>
    <w:rsid w:val="00C6340F"/>
    <w:rPr>
      <w:rFonts w:cs="Kokila"/>
      <w:kern w:val="2"/>
      <w:szCs w:val="20"/>
      <w:lang w:val="en-GB" w:eastAsia="zh-CN" w:bidi="hi-I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RRA-">
  <a:themeElements>
    <a:clrScheme name="RussellReynolds-Jan21">
      <a:dk1>
        <a:sysClr val="windowText" lastClr="000000"/>
      </a:dk1>
      <a:lt1>
        <a:sysClr val="window" lastClr="FFFFFF"/>
      </a:lt1>
      <a:dk2>
        <a:srgbClr val="212121"/>
      </a:dk2>
      <a:lt2>
        <a:srgbClr val="F2F2F2"/>
      </a:lt2>
      <a:accent1>
        <a:srgbClr val="0A2FB5"/>
      </a:accent1>
      <a:accent2>
        <a:srgbClr val="4A0080"/>
      </a:accent2>
      <a:accent3>
        <a:srgbClr val="117C96"/>
      </a:accent3>
      <a:accent4>
        <a:srgbClr val="990C47"/>
      </a:accent4>
      <a:accent5>
        <a:srgbClr val="959392"/>
      </a:accent5>
      <a:accent6>
        <a:srgbClr val="585656"/>
      </a:accent6>
      <a:hlink>
        <a:srgbClr val="0A2FB5"/>
      </a:hlink>
      <a:folHlink>
        <a:srgbClr val="4A0080"/>
      </a:folHlink>
    </a:clrScheme>
    <a:fontScheme name="RRA-Times-Arial">
      <a:majorFont>
        <a:latin typeface="Times New Roman"/>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tx2"/>
        </a:solidFill>
        <a:ln w="9525" cap="flat" cmpd="sng" algn="ctr">
          <a:no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defTabSz="1019175" rtl="0" eaLnBrk="1" fontAlgn="base" latinLnBrk="0" hangingPunct="1">
          <a:lnSpc>
            <a:spcPct val="100000"/>
          </a:lnSpc>
          <a:spcBef>
            <a:spcPct val="0"/>
          </a:spcBef>
          <a:spcAft>
            <a:spcPct val="0"/>
          </a:spcAft>
          <a:buClrTx/>
          <a:buSzTx/>
          <a:buFontTx/>
          <a:buNone/>
          <a:tabLst/>
          <a:defRPr kumimoji="0" sz="1500" b="0" i="0" u="none" strike="noStrike" cap="none" normalizeH="0" baseline="0" smtClean="0">
            <a:ln>
              <a:noFill/>
            </a:ln>
            <a:effectLst/>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1019175" rtl="0" eaLnBrk="1" fontAlgn="base" latinLnBrk="0" hangingPunct="1">
          <a:lnSpc>
            <a:spcPct val="100000"/>
          </a:lnSpc>
          <a:spcBef>
            <a:spcPct val="0"/>
          </a:spcBef>
          <a:spcAft>
            <a:spcPct val="0"/>
          </a:spcAft>
          <a:buClrTx/>
          <a:buSzTx/>
          <a:buFontTx/>
          <a:buNone/>
          <a:tabLst/>
          <a:defRPr kumimoji="0" lang="en-US" sz="2000" b="0" i="0" u="none" strike="noStrike" cap="none" normalizeH="0" baseline="0" smtClean="0">
            <a:ln>
              <a:noFill/>
            </a:ln>
            <a:solidFill>
              <a:schemeClr val="tx1"/>
            </a:solidFill>
            <a:effectLst/>
            <a:latin typeface="Arial" pitchFamily="34" charset="0"/>
          </a:defRPr>
        </a:defPPr>
      </a:lstStyle>
    </a:lnDef>
    <a:txDef>
      <a:spPr>
        <a:noFill/>
      </a:spPr>
      <a:bodyPr wrap="square" lIns="0" tIns="0" rIns="0" bIns="0" rtlCol="0">
        <a:noAutofit/>
      </a:bodyPr>
      <a:lstStyle>
        <a:defPPr marL="0" defTabSz="1018937" fontAlgn="base">
          <a:spcBef>
            <a:spcPts val="600"/>
          </a:spcBef>
          <a:buSzPct val="120000"/>
          <a:defRPr sz="1400" dirty="0" err="1" smtClean="0"/>
        </a:defPPr>
      </a:lstStyle>
    </a:txDef>
  </a:objectDefaults>
  <a:extraClrSchemeLst>
    <a:extraClrScheme>
      <a:clrScheme name="Default 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Default Desig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Default Desig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Default Desig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Default Desig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Default Desig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Default Design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Default Desig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Default Desig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Default Desig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Default Desig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Default Desig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custClrLst>
    <a:custClr name="Khaki">
      <a:srgbClr val="AC9F3C"/>
    </a:custClr>
    <a:custClr name="Dark Green">
      <a:srgbClr val="2C5234"/>
    </a:custClr>
    <a:custClr name="Warm Pink">
      <a:srgbClr val="E8927C"/>
    </a:custClr>
    <a:custClr name="Cardamon">
      <a:srgbClr val="BE3A34"/>
    </a:custClr>
    <a:custClr name="35% Teal">
      <a:srgbClr val="D0EAE9"/>
    </a:custClr>
    <a:custClr name="20% Purple">
      <a:srgbClr val="E0D4E2"/>
    </a:custClr>
    <a:custClr name="50% Purple">
      <a:srgbClr val="E0D4E2"/>
    </a:custClr>
    <a:custClr name="Black">
      <a:srgbClr val="00000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cumotor>
  <v1>
    <input>{"Data":{"DocumentOptions":{"Language":"en-GB","PaperSize":"A4","DateCreated":"2023-07-27","ConsultantIncludeCompanyFax":false,"ConsultantIncludeCompanyPhone":false,"ConsultantIds":"900419439","InternalDocumentType":"PositionSpecification"},"TemplafyForms":{"Language":"en-GB","PaperSize":"A4","format":"dd MMMM yyyy","date":"2023-07-27T00:00:00","DateCreated":"27 July 2023","shortformat":"dd/MM","disc":"The following represents the compensation package as reported to us by &gt;&gt;name&lt;&lt;."},"CoverPage":{"CompanyName":"Intermediate Capital Group plc","JobTitle":"Non-Executive Director","Label":"2306-100L"},"SectionVisibility":{"EnglishLanguageText":true,"NonEnglishLanguageText":false},"Profile":{"Alphabet":"","AssignmentLabel":"2306-100L","AuthorID":"HELMET","AuthorEmail":"Helen.Metcalfe@russellreynolds.com","CompanyID":"520017086","DocumentName":"SPEC - Intermediate Capital Group plc, Non-Executive Director","DocumentType":"SPEC","PersonID":null,"User":"Beacon Service","NetDocsRepositoryId":"CA-21XNCJCT","NetDocsCabinetId":"NG-H7R65XOW","NetDocsProfileAttributes":"1001|520017086|1003|2306-100L|1002|SPEC|","NetDocsPath":"CA-21XNCJCT/NG-H7R65XOW","ClientID":"520017086","ProjectID":"920102167"}},"Visibility":{"ConsultantIncludeCompanyFax":false,"ConsultantIncludeCompanyPhone":false},"_includeFax":false,"Profile":{"Alphabet":"","AssignmentLabel":"2306-100L","AuthorID":"HELMET","AuthorEmail":"Helen.Metcalfe@russellreynolds.com","CompanyID":"520017086","DocumentName":"SPEC - Intermediate Capital Group plc, Non-Executive Director","DocumentType":"SPEC","PersonID":null,"User":"Beacon Service","NetDocsRepositoryId":"CA-21XNCJCT","NetDocsCabinetId":"NG-H7R65XOW","NetDocsProfileAttributes":"1001|520017086|1003|2306-100L|1002|SPEC|","NetDocsPath":"CA-21XNCJCT/NG-H7R65XOW","ClientID":"520017086","ProjectID":"920102167"},"Contacts":[{"_officeCode":"L","_ds":{"OfficeCode":"L","ActiveDirectoryOU":"UK-LON","ContactDetails":{"DataPrivacyOfficerEmail":"EuroPrivacyOfficer@RussellReynolds.com","LegalName":"Russell Reynolds Associates Limited","Address1":"Almack House, 28 King Street","Address2":"London","Address3":"SW1Y 6QW","Address4":"United Kingdom","Address5":"","Telephone1":"Tel: +44-20-7839-7788","Fax1":"Fax: +44-20-7198-1850","Fax2":"Fax: +44-20-7198-1851","TelephoneMask":"+44-00-0000-0000"},"LetterHead":{"PaperSize":"A4","Address1":"Almack House, 28 King Street","Address2":"London SW1Y 6QW","Address3":"United Kingdom","Telephone1":"Telephone +44-20-7839-7788","FontSize":"9","L1Left":"Russell Reynolds Associates Limited","L1Center":"","L1Right":"RussellReynolds.com","SpaceBeforeCities":"3"}},"FormattedName":"Helen Metcalfe","AddressJoined":"Almack House, 28 King Street\nLondon\nSW1Y 6QW\nUnited Kingdom\nDirect: +44-20-7343-3650\nMobile: +44-78-4105-7307","EmailAddress":"helen.metcalfe@russellreynolds.com","EmailAddressHyperlink":"mailto:helen.metcalfe@russellreynolds.com"}]}</input>
  </v1>
</Documotor>
</file>

<file path=customXml/item3.xml><?xml version="1.0" encoding="utf-8"?>
<TemplafyFormConfiguration><![CDATA[{"formFields":[],"formDataEntries":[]}]]></TemplafyFormConfiguration>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DD0CCFA1DB77849995030DF0F779067" ma:contentTypeVersion="12" ma:contentTypeDescription="Create a new document." ma:contentTypeScope="" ma:versionID="a81da831ead422af78e99806e8d1f844">
  <xsd:schema xmlns:xsd="http://www.w3.org/2001/XMLSchema" xmlns:xs="http://www.w3.org/2001/XMLSchema" xmlns:p="http://schemas.microsoft.com/office/2006/metadata/properties" xmlns:ns1="http://schemas.microsoft.com/sharepoint/v3" xmlns:ns2="fd5dccd8-d48d-4465-bc3c-c063a6c4ea8a" xmlns:ns3="77a7637d-5d6b-4ccb-af2c-26f044679f5c" targetNamespace="http://schemas.microsoft.com/office/2006/metadata/properties" ma:root="true" ma:fieldsID="dc8d689a6f7b71b71a9653328a490423" ns1:_="" ns2:_="" ns3:_="">
    <xsd:import namespace="http://schemas.microsoft.com/sharepoint/v3"/>
    <xsd:import namespace="fd5dccd8-d48d-4465-bc3c-c063a6c4ea8a"/>
    <xsd:import namespace="77a7637d-5d6b-4ccb-af2c-26f044679f5c"/>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5dccd8-d48d-4465-bc3c-c063a6c4ea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a7637d-5d6b-4ccb-af2c-26f044679f5c"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TemplafyTemplateConfiguration><![CDATA[{"elementsMetadata":[{"elementConfiguration":{"binding":"{{Translate(\"PositionSpecification\", HostSystem.Language)}}","visibility":"","removeAndKeepContent":false,"disableUpdates":false,"type":"text"},"type":"richTextContentControl","id":"aa58fa8b-6458-4112-b353-79529febf392"},{"elementConfiguration":{"binding":"{{Translate(\"OurClient\", HostSystem.Language)}}","visibility":"","removeAndKeepContent":false,"disableUpdates":false,"type":"text"},"type":"richTextContentControl","id":"65235c61-f4bf-4d41-afbb-f6d07715eb8f"},{"elementConfiguration":{"binding":"{{Translate(\"TheRole\", HostSystem.Language)}}","visibility":"","removeAndKeepContent":false,"disableUpdates":false,"type":"text"},"type":"richTextContentControl","id":"8865ae5d-b664-4812-b9fb-8ea2350446f5"},{"elementConfiguration":{"binding":"{{Translate(\"CandidateProfile\", HostSystem.Language)}}","visibility":"","removeAndKeepContent":false,"disableUpdates":false,"type":"text"},"type":"richTextContentControl","id":"858ecd8b-f3b0-4986-938f-03f17a3f2508"},{"elementConfiguration":{"binding":"{{Translate(\"CBI_SettingStrategy\", HostSystem.Language)}}","visibility":"","removeAndKeepContent":false,"disableUpdates":false,"type":"text"},"type":"richTextContentControl","id":"694042d1-297a-4598-9a65-ceae9281f7c8"},{"elementConfiguration":{"binding":"{{Translate(\"CBI_Disruptive\", HostSystem.Language)}}","visibility":"","removeAndKeepContent":false,"disableUpdates":false,"type":"text"},"type":"richTextContentControl","id":"adad9e6c-dca2-4086-8ebd-237b8f98160f"},{"elementConfiguration":{"binding":"{{Translate(\"CBI_Pragmatic\", HostSystem.Language)}}","visibility":"","removeAndKeepContent":false,"disableUpdates":false,"type":"text"},"type":"richTextContentControl","id":"a72c4a76-1d62-41d9-a0f7-ab072f771dc0"},{"elementConfiguration":{"binding":"{{Translate(\"CBI_ExecutingForResults\", HostSystem.Language)}}","visibility":"","removeAndKeepContent":false,"disableUpdates":false,"type":"text"},"type":"richTextContentControl","id":"2e90c6b2-d01a-4c97-9e6e-ccac9967698d"},{"elementConfiguration":{"binding":"{{Translate(\"CBI_RiskTaking\", HostSystem.Language)}}","visibility":"","removeAndKeepContent":false,"disableUpdates":false,"type":"text"},"type":"richTextContentControl","id":"35fea506-dd12-4a96-8eb5-042a259ff4a8"},{"elementConfiguration":{"binding":"{{Translate(\"CBI_Reluctant\", HostSystem.Language)}}","visibility":"","removeAndKeepContent":false,"disableUpdates":false,"type":"text"},"type":"richTextContentControl","id":"fcef4528-2194-45d7-a569-3aa2d8eade30"},{"elementConfiguration":{"binding":"{{Translate(\"CBI_LeadingTeams\", HostSystem.Language)}}","visibility":"","removeAndKeepContent":false,"disableUpdates":false,"type":"text"},"type":"richTextContentControl","id":"f93807fa-a09e-4f36-abe9-9b4553c6837f"},{"elementConfiguration":{"binding":"{{Translate(\"CBI_Heroic\", HostSystem.Language)}}","visibility":"","removeAndKeepContent":false,"disableUpdates":false,"type":"text"},"type":"richTextContentControl","id":"dee1bb65-9dcf-49fb-9e54-61164b7ad96e"},{"elementConfiguration":{"binding":"{{Translate(\"CBI_Vulnerable\", HostSystem.Language)}}","visibility":"","removeAndKeepContent":false,"disableUpdates":false,"type":"text"},"type":"richTextContentControl","id":"0d26b042-7674-4733-a1f6-395c0235118e"},{"elementConfiguration":{"binding":"{{Translate(\"CBI_RelationshipsAndInfluence\", HostSystem.Language)}}","visibility":"","removeAndKeepContent":false,"disableUpdates":false,"type":"text"},"type":"richTextContentControl","id":"79670ee5-4fdb-4429-99ff-a9fbdbfdb92e"},{"elementConfiguration":{"binding":"{{Translate(\"CBI_Galvanizing\", HostSystem.Language)}}","visibility":"","removeAndKeepContent":false,"disableUpdates":false,"type":"text"},"type":"richTextContentControl","id":"29ef4884-d782-4d33-ac63-80a28b42b487"},{"elementConfiguration":{"binding":"{{Translate(\"CBI_Connecting\", HostSystem.Language)}}","visibility":"","removeAndKeepContent":false,"disableUpdates":false,"type":"text"},"type":"richTextContentControl","id":"3dfc97bf-6fa6-47e3-8df2-33a93e950262"},{"elementConfiguration":{"binding":"{{Translate(\"CBI_DrivingSustainability\", HostSystem.Language)}}","visibility":"","removeAndKeepContent":false,"disableUpdates":false,"type":"text"},"type":"richTextContentControl","id":"7e160927-3749-478f-92c9-8f88d19c4a8e"},{"elementConfiguration":{"binding":"{{Translate(\"Contact\", HostSystem.Language)}}","visibility":"","removeAndKeepContent":false,"disableUpdates":false,"type":"text"},"type":"richTextContentControl","id":"34155849-e96c-4606-806a-77cc9df9c8d9"},{"elementConfiguration":{"binding":"{{Translate(\"PositionSpecification\", HostSystem.Language)}}","visibility":"","removeAndKeepContent":false,"disableUpdates":false,"type":"text"},"type":"richTextContentControl","id":"085a1493-8f33-49d0-a252-6ee709e1e5b0"},{"elementConfiguration":{"binding":"{{Translate(\"PositionSpecification\", HostSystem.Language)}}","visibility":"","removeAndKeepContent":false,"disableUpdates":false,"type":"text"},"type":"richTextContentControl","id":"ef2375b4-ab30-47cb-b64a-fa042b01e211"},{"elementConfiguration":{"binding":"{{Translate(\"PrivateandConfidential\", HostSystem.Language)}}","visibility":"","removeAndKeepContent":false,"disableUpdates":false,"type":"text"},"type":"richTextContentControl","id":"f3236c93-127a-49c6-a8d2-5ce814f330db"},{"elementConfiguration":{"binding":"{{Translate(\"PrivateandConfidential\", HostSystem.Language)}}","visibility":"","removeAndKeepContent":false,"disableUpdates":false,"type":"text"},"type":"richTextContentControl","id":"61ac856e-eddb-4cbe-8c96-47476a512907"},{"elementConfiguration":{"binding":"{{Translate(\"PrivateandConfidential\", HostSystem.Language)}}","visibility":"","removeAndKeepContent":false,"disableUpdates":false,"type":"text"},"type":"richTextContentControl","id":"e9c2ced7-61dc-42ea-87f5-4aa129232bea"}],"transformationConfigurations":[{"language":"{{HostSystem.Language}}","disableUpdates":false,"type":"proofingLanguage"},{"topMargin":"{{DataSources.PageSetup[HostSystem.PaperSize].TopMargin}}","rightMargin":"{{DataSources.PageSetup[HostSystem.PaperSize].RightMargin}}","bottomMargin":"{{DataSources.PageSetup[HostSystem.PaperSize].BottomMargin}}","leftMargin":"{{DataSources.PageSetup[HostSystem.PaperSize].LeftMargin}}","gutter":"0 cm","gutterPosition":"{{GutterPosition.Left}}","orientation":"{{Orientation.Portrait}}","paperWidth":"{{DataSources.PageSetup[HostSystem.PaperSize].PaperWidth}}","paperHeight":"{{DataSources.PageSetup[HostSystem.PaperSize].PaperHeight}}","headerFromEdge":"","footerFromEdge":"","originalValues":{"topMargin":2552,"rightMargin":907,"bottomMargin":1418,"leftMargin":907,"gutter":0,"gutterPosition":"left","orientation":"portrait","paperWidth":12240,"paperHeight":15840,"headerFromEdge":709,"footerFromEdge":567},"disableUpdates":false,"type":"pageSetup"},{"image":"{{DataSources.LogoInsertion[\"Russell Reynolds\"].LogoNameFooter.Image}}","shapeName":"Logo","width":"{{DataSources.LogoInsertion[\"Russell Reynolds\"].LogoWidthFooter}}","height":"","namedSections":"{{NamedSections.All}}","namedPages":"{{NamedPages.All}}","numberedSections":[],"leftOffset":"{{DataSources.LogoInsertion[\"Russell Reynolds\"].LogoLeftOffsetFooterPortrait}}","horizontalRelativePosition":"{{HorizontalRelativePosition.Page}}","horizontalAlignment":"{{HorizontalAlignment.Right}}","topOffset":"{{DataSources.LogoInsertion[\"Russell Reynolds\"].LogoTopOffsetFooterPortrait}}","verticalRelativePosition":"{{VerticalRelativePosition.Page}}","verticalAlignment":"{{VerticalAlignment.Bottom}}","imageTextWrapping":"{{ImageTextWrapping.InFrontOfText}}","rotation":"","color":"","disableUpdates":false,"type":"imageHeader"},{"image":"{{DataSources.LogoInsertion[\"Russell Reynolds\"].LogoName.Image}}","shapeName":"LogoR","width":"{{DataSources.LogoInsertion[\"Russell Reynolds\"].LogoWidth}}","height":"","namedSections":"{{NamedSections.First}}","namedPages":"{{NamedPages.Default}}","numberedSections":[],"leftOffset":"{{DataSources.LogoInsertion[\"Russell Reynolds\"].LogoLeftOffset}}","horizontalRelativePosition":"{{HorizontalRelativePosition.Margin}}","horizontalAlignment":"{{HorizontalAlignment.Left}}","topOffset":"{{DataSources.LogoInsertion[\"Russell Reynolds\"].LogoTopOffset}}","verticalRelativePosition":"{{VerticalRelativePosition.Page}}","verticalAlignment":"","imageTextWrapping":"{{ImageTextWrapping.BehindText}}","rotation":"","color":"","disableUpdates":false,"type":"imageHeader"}],"templateName":"Position Specification","templateDescription":"","enableDocumentContentUpdater":false,"version":"2.0"}]]></TemplafyTemplateConfiguration>
</file>

<file path=customXml/item7.xml>��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2BF13-73CE-4EB3-B00B-F923AAED753C}">
  <ds:schemaRefs>
    <ds:schemaRef ds:uri="http://schemas.microsoft.com/sharepoint/v3/contenttype/forms"/>
  </ds:schemaRefs>
</ds:datastoreItem>
</file>

<file path=customXml/itemProps2.xml><?xml version="1.0" encoding="utf-8"?>
<ds:datastoreItem xmlns:ds="http://schemas.openxmlformats.org/officeDocument/2006/customXml" ds:itemID="{A0B7990B-8A25-4413-A2F8-6B094C04788A}">
  <ds:schemaRefs/>
</ds:datastoreItem>
</file>

<file path=customXml/itemProps3.xml><?xml version="1.0" encoding="utf-8"?>
<ds:datastoreItem xmlns:ds="http://schemas.openxmlformats.org/officeDocument/2006/customXml" ds:itemID="{3CFD33BA-574A-4367-A460-410A9AEFA23C}">
  <ds:schemaRefs/>
</ds:datastoreItem>
</file>

<file path=customXml/itemProps4.xml><?xml version="1.0" encoding="utf-8"?>
<ds:datastoreItem xmlns:ds="http://schemas.openxmlformats.org/officeDocument/2006/customXml" ds:itemID="{FB393DE4-7EED-4B62-B459-7CF1EDD7D584}">
  <ds:schemaRefs>
    <ds:schemaRef ds:uri="http://schemas.openxmlformats.org/package/2006/metadata/core-properties"/>
    <ds:schemaRef ds:uri="http://schemas.microsoft.com/office/2006/documentManagement/types"/>
    <ds:schemaRef ds:uri="http://schemas.microsoft.com/sharepoint/v3"/>
    <ds:schemaRef ds:uri="http://schemas.microsoft.com/office/2006/metadata/properties"/>
    <ds:schemaRef ds:uri="http://purl.org/dc/terms/"/>
    <ds:schemaRef ds:uri="http://schemas.microsoft.com/office/infopath/2007/PartnerControls"/>
    <ds:schemaRef ds:uri="http://purl.org/dc/dcmitype/"/>
    <ds:schemaRef ds:uri="77a7637d-5d6b-4ccb-af2c-26f044679f5c"/>
    <ds:schemaRef ds:uri="fd5dccd8-d48d-4465-bc3c-c063a6c4ea8a"/>
    <ds:schemaRef ds:uri="http://www.w3.org/XML/1998/namespace"/>
    <ds:schemaRef ds:uri="http://purl.org/dc/elements/1.1/"/>
  </ds:schemaRefs>
</ds:datastoreItem>
</file>

<file path=customXml/itemProps5.xml><?xml version="1.0" encoding="utf-8"?>
<ds:datastoreItem xmlns:ds="http://schemas.openxmlformats.org/officeDocument/2006/customXml" ds:itemID="{CECEF1EA-329E-4FDE-9DED-AB6C25EEC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d5dccd8-d48d-4465-bc3c-c063a6c4ea8a"/>
    <ds:schemaRef ds:uri="77a7637d-5d6b-4ccb-af2c-26f044679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3D8CEFF-B8AE-4D09-91F5-BCCC531CF1B4}">
  <ds:schemaRefs/>
</ds:datastoreItem>
</file>

<file path=customXml/itemProps7.xml><?xml version="1.0" encoding="utf-8"?>
<ds:datastoreItem xmlns:ds="http://schemas.openxmlformats.org/officeDocument/2006/customXml" ds:itemID="{7F5DDD26-7C96-4855-B64E-B49037A909CC}">
  <ds:schemaRefs>
    <ds:schemaRef ds:uri="http://www.w3.org/2001/XMLSchema"/>
  </ds:schemaRefs>
</ds:datastoreItem>
</file>

<file path=customXml/itemProps8.xml><?xml version="1.0" encoding="utf-8"?>
<ds:datastoreItem xmlns:ds="http://schemas.openxmlformats.org/officeDocument/2006/customXml" ds:itemID="{1F5D4360-1D72-480C-AA40-6E15B57AF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4738</Words>
  <Characters>27872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Position Spec</vt:lpstr>
    </vt:vector>
  </TitlesOfParts>
  <Company>Russell Reynolds Associates</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Spec</dc:title>
  <dc:subject/>
  <dc:creator>Delia Schofield</dc:creator>
  <cp:keywords/>
  <dc:description>Dual compatible Word 2013 2016</dc:description>
  <cp:lastModifiedBy>Sandhu, Baghel - UKGI</cp:lastModifiedBy>
  <cp:revision>2</cp:revision>
  <dcterms:created xsi:type="dcterms:W3CDTF">2025-01-09T15:07:00Z</dcterms:created>
  <dcterms:modified xsi:type="dcterms:W3CDTF">2025-01-09T15:07:00Z</dcterms:modified>
  <cp:category>Full DOTM</cp:category>
  <cp:contentStatus/>
  <cp:version>7:0:0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0x010100FDD0CCFA1DB77849995030DF0F779067</vt:lpwstr>
  </property>
  <property fmtid="{D5CDD505-2E9C-101B-9397-08002B2CF9AE}" pid="3" name="TemplafyTenantId">
    <vt:lpwstr>russellreynolds</vt:lpwstr>
  </property>
  <property fmtid="{D5CDD505-2E9C-101B-9397-08002B2CF9AE}" pid="4" name="TemplafyTemplateId">
    <vt:lpwstr>637739543496011070</vt:lpwstr>
  </property>
  <property fmtid="{D5CDD505-2E9C-101B-9397-08002B2CF9AE}" pid="5" name="TemplafyUserProfileId">
    <vt:lpwstr>638252793206174606</vt:lpwstr>
  </property>
  <property fmtid="{D5CDD505-2E9C-101B-9397-08002B2CF9AE}" pid="6" name="TemplafyFromBlank">
    <vt:bool>false</vt:bool>
  </property>
  <property fmtid="{D5CDD505-2E9C-101B-9397-08002B2CF9AE}" pid="7" name="MSIP_Label_1516ab38-2493-4a9b-b1f9-4317bfdba7d3_Enabled">
    <vt:lpwstr>true</vt:lpwstr>
  </property>
  <property fmtid="{D5CDD505-2E9C-101B-9397-08002B2CF9AE}" pid="8" name="MSIP_Label_1516ab38-2493-4a9b-b1f9-4317bfdba7d3_SetDate">
    <vt:lpwstr>2023-08-09T09:18:39Z</vt:lpwstr>
  </property>
  <property fmtid="{D5CDD505-2E9C-101B-9397-08002B2CF9AE}" pid="9" name="MSIP_Label_1516ab38-2493-4a9b-b1f9-4317bfdba7d3_Method">
    <vt:lpwstr>Privileged</vt:lpwstr>
  </property>
  <property fmtid="{D5CDD505-2E9C-101B-9397-08002B2CF9AE}" pid="10" name="MSIP_Label_1516ab38-2493-4a9b-b1f9-4317bfdba7d3_Name">
    <vt:lpwstr>ICG-DataClassificationTag-Secret</vt:lpwstr>
  </property>
  <property fmtid="{D5CDD505-2E9C-101B-9397-08002B2CF9AE}" pid="11" name="MSIP_Label_1516ab38-2493-4a9b-b1f9-4317bfdba7d3_SiteId">
    <vt:lpwstr>31d4ce72-dfb2-4be8-b876-3278f8641754</vt:lpwstr>
  </property>
  <property fmtid="{D5CDD505-2E9C-101B-9397-08002B2CF9AE}" pid="12" name="MSIP_Label_1516ab38-2493-4a9b-b1f9-4317bfdba7d3_ActionId">
    <vt:lpwstr>fb6d5b45-3aba-4239-af16-ca966f88cd60</vt:lpwstr>
  </property>
  <property fmtid="{D5CDD505-2E9C-101B-9397-08002B2CF9AE}" pid="13" name="MSIP_Label_1516ab38-2493-4a9b-b1f9-4317bfdba7d3_ContentBits">
    <vt:lpwstr>0</vt:lpwstr>
  </property>
</Properties>
</file>