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064DD" w:rsidRDefault="002064DD" w:rsidP="00D80D2B">
      <w:pPr>
        <w:jc w:val="center"/>
      </w:pPr>
    </w:p>
    <w:p w:rsidR="002064DD" w:rsidRDefault="002064DD" w:rsidP="00D80D2B">
      <w:pPr>
        <w:jc w:val="center"/>
      </w:pPr>
    </w:p>
    <w:p w:rsidR="002064DD" w:rsidRDefault="002064DD" w:rsidP="00D80D2B">
      <w:pPr>
        <w:jc w:val="center"/>
      </w:pPr>
    </w:p>
    <w:p w:rsidR="002064DD" w:rsidRDefault="00D56D46" w:rsidP="00D80D2B">
      <w:pPr>
        <w:jc w:val="center"/>
      </w:pPr>
      <w:r>
        <w:rPr>
          <w:noProof/>
        </w:rPr>
        <w:drawing>
          <wp:inline distT="114300" distB="114300" distL="114300" distR="114300">
            <wp:extent cx="3419313" cy="2273527"/>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3419313" cy="2273527"/>
                    </a:xfrm>
                    <a:prstGeom prst="rect">
                      <a:avLst/>
                    </a:prstGeom>
                    <a:ln/>
                  </pic:spPr>
                </pic:pic>
              </a:graphicData>
            </a:graphic>
          </wp:inline>
        </w:drawing>
      </w:r>
    </w:p>
    <w:p w:rsidR="002064DD" w:rsidRDefault="002064DD" w:rsidP="00D80D2B">
      <w:pPr>
        <w:jc w:val="center"/>
      </w:pPr>
    </w:p>
    <w:p w:rsidR="00004FC1" w:rsidRDefault="00D56D46" w:rsidP="00D80D2B">
      <w:pPr>
        <w:pStyle w:val="Title"/>
        <w:jc w:val="center"/>
        <w:rPr>
          <w:rFonts w:eastAsia="Arial"/>
          <w:b/>
          <w:color w:val="auto"/>
        </w:rPr>
      </w:pPr>
      <w:r w:rsidRPr="00004FC1">
        <w:rPr>
          <w:rFonts w:eastAsia="Arial"/>
          <w:b/>
          <w:color w:val="auto"/>
        </w:rPr>
        <w:t>Public Appointments</w:t>
      </w:r>
      <w:r w:rsidR="00004FC1">
        <w:rPr>
          <w:rFonts w:eastAsia="Arial"/>
          <w:b/>
          <w:color w:val="auto"/>
        </w:rPr>
        <w:t xml:space="preserve"> </w:t>
      </w:r>
    </w:p>
    <w:p w:rsidR="002064DD" w:rsidRPr="00004FC1" w:rsidRDefault="00004FC1" w:rsidP="00D80D2B">
      <w:pPr>
        <w:pStyle w:val="Title"/>
        <w:jc w:val="center"/>
        <w:rPr>
          <w:rFonts w:eastAsia="Arial"/>
          <w:b/>
          <w:color w:val="auto"/>
        </w:rPr>
      </w:pPr>
      <w:r>
        <w:rPr>
          <w:rFonts w:eastAsia="Arial"/>
          <w:b/>
          <w:color w:val="auto"/>
        </w:rPr>
        <w:t>Candidate Pack</w:t>
      </w:r>
    </w:p>
    <w:p w:rsidR="00D80D2B" w:rsidRPr="00D80D2B" w:rsidRDefault="00D80D2B" w:rsidP="00D80D2B">
      <w:pPr>
        <w:jc w:val="center"/>
      </w:pPr>
    </w:p>
    <w:p w:rsidR="002064DD" w:rsidRDefault="00D80D2B" w:rsidP="00D80D2B">
      <w:pPr>
        <w:pStyle w:val="Title"/>
        <w:jc w:val="center"/>
        <w:rPr>
          <w:rFonts w:eastAsia="Arial"/>
        </w:rPr>
      </w:pPr>
      <w:r>
        <w:rPr>
          <w:rFonts w:eastAsia="Arial"/>
          <w:noProof/>
        </w:rPr>
        <w:drawing>
          <wp:inline distT="114300" distB="114300" distL="114300" distR="114300" wp14:anchorId="33C0BE20" wp14:editId="044AAE3E">
            <wp:extent cx="3294253" cy="173037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294253" cy="1730375"/>
                    </a:xfrm>
                    <a:prstGeom prst="rect">
                      <a:avLst/>
                    </a:prstGeom>
                    <a:ln/>
                  </pic:spPr>
                </pic:pic>
              </a:graphicData>
            </a:graphic>
          </wp:inline>
        </w:drawing>
      </w:r>
    </w:p>
    <w:p w:rsidR="002064DD" w:rsidRDefault="002064DD" w:rsidP="00D80D2B"/>
    <w:p w:rsidR="002064DD" w:rsidRDefault="00D56D46" w:rsidP="00D80D2B">
      <w:r>
        <w:br w:type="page"/>
      </w:r>
    </w:p>
    <w:p w:rsidR="002064DD" w:rsidRDefault="00D56D46" w:rsidP="00D80D2B">
      <w:pPr>
        <w:pStyle w:val="Heading1"/>
        <w:rPr>
          <w:rFonts w:eastAsia="Arial"/>
        </w:rPr>
      </w:pPr>
      <w:r>
        <w:rPr>
          <w:rFonts w:eastAsia="Arial"/>
        </w:rPr>
        <w:lastRenderedPageBreak/>
        <w:t>Introduction</w:t>
      </w:r>
    </w:p>
    <w:p w:rsidR="002064DD" w:rsidRDefault="00D56D46" w:rsidP="00D80D2B">
      <w:r>
        <w:t xml:space="preserve">The Secretary of State for Digital, Culture, Media and Sport is seeking to appoint six new Commissioners to the Gambling Commission. </w:t>
      </w:r>
    </w:p>
    <w:p w:rsidR="002064DD" w:rsidRDefault="00D56D46" w:rsidP="00D80D2B">
      <w:r>
        <w:t>This process will seek to appoint six candidates, including three with expert experience in one of the following fields:</w:t>
      </w:r>
    </w:p>
    <w:p w:rsidR="002064DD" w:rsidRDefault="00D56D46" w:rsidP="00D80D2B">
      <w:pPr>
        <w:pStyle w:val="ListParagraph"/>
        <w:numPr>
          <w:ilvl w:val="0"/>
          <w:numId w:val="3"/>
        </w:numPr>
      </w:pPr>
      <w:r>
        <w:t>Consumer Protection and Insight</w:t>
      </w:r>
    </w:p>
    <w:p w:rsidR="002064DD" w:rsidRDefault="00D56D46" w:rsidP="00D80D2B">
      <w:pPr>
        <w:pStyle w:val="ListParagraph"/>
        <w:numPr>
          <w:ilvl w:val="0"/>
          <w:numId w:val="3"/>
        </w:numPr>
      </w:pPr>
      <w:r>
        <w:t>Data Science and Digital Innovation</w:t>
      </w:r>
    </w:p>
    <w:p w:rsidR="002064DD" w:rsidRPr="00D80D2B" w:rsidRDefault="00D56D46" w:rsidP="00D80D2B">
      <w:pPr>
        <w:pStyle w:val="ListParagraph"/>
        <w:numPr>
          <w:ilvl w:val="0"/>
          <w:numId w:val="3"/>
        </w:numPr>
      </w:pPr>
      <w:r>
        <w:t>Law Enforcement</w:t>
      </w:r>
    </w:p>
    <w:p w:rsidR="002064DD" w:rsidRDefault="00D56D46" w:rsidP="00D80D2B">
      <w:r>
        <w:rPr>
          <w:highlight w:val="white"/>
        </w:rPr>
        <w:t xml:space="preserve">DCMS is committed to </w:t>
      </w:r>
      <w:r>
        <w:t>eliminating discrimination and advancing equality of opportunity in its public appointments. We particularly encourage applicants from underrepresented groups, those based outside London and the South-East and applicants who have achieved success through non-traditional educational routes. This ensures that boards of public bodies benefit from a full range of diverse perspectives and are representative of the people they serve.</w:t>
      </w:r>
    </w:p>
    <w:p w:rsidR="002064DD" w:rsidRDefault="00D56D46" w:rsidP="00D80D2B">
      <w:pPr>
        <w:pStyle w:val="Heading1"/>
        <w:rPr>
          <w:rFonts w:eastAsia="Arial"/>
        </w:rPr>
      </w:pPr>
      <w:r>
        <w:rPr>
          <w:rFonts w:eastAsia="Arial"/>
        </w:rPr>
        <w:t>About the role</w:t>
      </w:r>
    </w:p>
    <w:p w:rsidR="002064DD" w:rsidRDefault="00D56D46" w:rsidP="00D80D2B">
      <w:r>
        <w:t>Under the leadership of the Chair, the Commissioners have responsibility for (in summary):</w:t>
      </w:r>
    </w:p>
    <w:p w:rsidR="002064DD" w:rsidRDefault="00D56D46" w:rsidP="00D80D2B">
      <w:pPr>
        <w:pStyle w:val="ListParagraph"/>
        <w:numPr>
          <w:ilvl w:val="0"/>
          <w:numId w:val="9"/>
        </w:numPr>
      </w:pPr>
      <w:r>
        <w:t xml:space="preserve">Ensuring that the Gambling Commission fulfils its statutory objectives and duties; </w:t>
      </w:r>
    </w:p>
    <w:p w:rsidR="002064DD" w:rsidRDefault="00D56D46" w:rsidP="00D80D2B">
      <w:pPr>
        <w:pStyle w:val="ListParagraph"/>
        <w:numPr>
          <w:ilvl w:val="0"/>
          <w:numId w:val="9"/>
        </w:numPr>
      </w:pPr>
      <w:r>
        <w:t>Ensuring that any statutory or administrative requirements for the use of public funds are complied with;</w:t>
      </w:r>
    </w:p>
    <w:p w:rsidR="002064DD" w:rsidRDefault="00D56D46" w:rsidP="00D80D2B">
      <w:pPr>
        <w:pStyle w:val="ListParagraph"/>
        <w:numPr>
          <w:ilvl w:val="0"/>
          <w:numId w:val="9"/>
        </w:numPr>
      </w:pPr>
      <w:r>
        <w:t xml:space="preserve">Setting the overarching strategy for the organisation and making strategically significant decisions; </w:t>
      </w:r>
    </w:p>
    <w:p w:rsidR="002064DD" w:rsidRDefault="00D56D46" w:rsidP="00D80D2B">
      <w:pPr>
        <w:pStyle w:val="ListParagraph"/>
        <w:numPr>
          <w:ilvl w:val="0"/>
          <w:numId w:val="9"/>
        </w:numPr>
      </w:pPr>
      <w:r>
        <w:t xml:space="preserve">Setting organisational risk appetite and ensuring a framework for effective identification and mitigation of top risks; </w:t>
      </w:r>
    </w:p>
    <w:p w:rsidR="002064DD" w:rsidRDefault="00D56D46" w:rsidP="00D80D2B">
      <w:pPr>
        <w:pStyle w:val="ListParagraph"/>
        <w:numPr>
          <w:ilvl w:val="0"/>
          <w:numId w:val="9"/>
        </w:numPr>
      </w:pPr>
      <w:r>
        <w:t>Ensuring that the Board receives and reviews regular information and data concerning the management of the Commission;</w:t>
      </w:r>
    </w:p>
    <w:p w:rsidR="002064DD" w:rsidRDefault="00D56D46" w:rsidP="00D80D2B">
      <w:pPr>
        <w:pStyle w:val="ListParagraph"/>
        <w:numPr>
          <w:ilvl w:val="0"/>
          <w:numId w:val="9"/>
        </w:numPr>
      </w:pPr>
      <w:r>
        <w:t>Setting the overarching stakeholder engagement strategy;  </w:t>
      </w:r>
    </w:p>
    <w:p w:rsidR="002064DD" w:rsidRDefault="00D56D46" w:rsidP="00D80D2B">
      <w:pPr>
        <w:pStyle w:val="ListParagraph"/>
        <w:numPr>
          <w:ilvl w:val="0"/>
          <w:numId w:val="9"/>
        </w:numPr>
      </w:pPr>
      <w:r>
        <w:t xml:space="preserve">Demonstrating high standards of corporate governance at all times. </w:t>
      </w:r>
    </w:p>
    <w:p w:rsidR="002064DD" w:rsidRDefault="002064DD" w:rsidP="00D80D2B"/>
    <w:p w:rsidR="002064DD" w:rsidRDefault="00D56D46" w:rsidP="00D80D2B">
      <w:r>
        <w:t xml:space="preserve">Commissioners are expected to commit one day per week on average, with sufficient flexibility to cope with variations of workload. This will include attending Board meetings at the Commission’s Birmingham office. Commissioners will also be asked to serve as members of Board sub-committees. </w:t>
      </w:r>
    </w:p>
    <w:p w:rsidR="002064DD" w:rsidRDefault="00D56D46" w:rsidP="00D80D2B">
      <w:pPr>
        <w:rPr>
          <w:b/>
        </w:rPr>
      </w:pPr>
      <w:r>
        <w:t>The Commission are committed to a diverse board, able to draw on a wide range of experience, and would welcome applications from across the UK.</w:t>
      </w:r>
    </w:p>
    <w:p w:rsidR="002064DD" w:rsidRDefault="002064DD" w:rsidP="00D80D2B"/>
    <w:p w:rsidR="002064DD" w:rsidRDefault="00D56D46" w:rsidP="00D80D2B">
      <w:r>
        <w:br w:type="page"/>
      </w:r>
    </w:p>
    <w:p w:rsidR="002064DD" w:rsidRDefault="00D56D46" w:rsidP="00D80D2B">
      <w:pPr>
        <w:pStyle w:val="Heading1"/>
        <w:rPr>
          <w:rFonts w:eastAsia="Arial"/>
        </w:rPr>
      </w:pPr>
      <w:r>
        <w:rPr>
          <w:rFonts w:eastAsia="Arial"/>
        </w:rPr>
        <w:lastRenderedPageBreak/>
        <w:t xml:space="preserve">About the Gambling Commission </w:t>
      </w:r>
    </w:p>
    <w:p w:rsidR="002064DD" w:rsidRDefault="00D56D46" w:rsidP="00D80D2B">
      <w:r>
        <w:t>The Gambling Commission was set up under the Gambling Act 2005 to regulate commercial gambling in Great Britain. Since 2013, the Commission also regulates the UK’s National Lottery under the National Lottery etc Act 1993. The Commission is an independent non</w:t>
      </w:r>
      <w:r>
        <w:rPr>
          <w:rFonts w:ascii="Cambria Math" w:hAnsi="Cambria Math" w:cs="Cambria Math"/>
        </w:rPr>
        <w:t>‐</w:t>
      </w:r>
      <w:r>
        <w:t>departmental public body (NDPB) sponsored by the Department for Digital, Culture, Media and Sport (DCMS).</w:t>
      </w:r>
    </w:p>
    <w:p w:rsidR="002064DD" w:rsidRDefault="00D56D46" w:rsidP="00D80D2B">
      <w:r>
        <w:t>The Commission has over 300 staff, mostly based in Birmingham but embracing hybrid working post-pandemic.</w:t>
      </w:r>
    </w:p>
    <w:p w:rsidR="002064DD" w:rsidRDefault="00D56D46" w:rsidP="00D80D2B">
      <w:r>
        <w:t xml:space="preserve">The Commission’s work in respect of commercial gambling is funded by fees, paid by around 2,800 operators that it licences. The British commercial gambling industry generates a gross gambling yield of £14.1bn per year.   </w:t>
      </w:r>
    </w:p>
    <w:p w:rsidR="002064DD" w:rsidRDefault="00D56D46" w:rsidP="00D80D2B">
      <w:r>
        <w:t xml:space="preserve">The Commission is also responsible for licensing and regulating the UK’s National Lottery.  Since launching in 1994, National Lottery players have collectively raised more than £45bn for 660,000 good causes across the UK, transforming lives and contributing to the arts, sport, heritage and communities. </w:t>
      </w:r>
    </w:p>
    <w:p w:rsidR="002064DD" w:rsidRDefault="00D56D46" w:rsidP="00D80D2B">
      <w:r>
        <w:t xml:space="preserve">In addition, the Commission regulates society and other lotteries, with a number of major charities and public organisations now running lotteries to contribute to fund-raising activity.  </w:t>
      </w:r>
    </w:p>
    <w:p w:rsidR="002064DD" w:rsidRDefault="00D56D46" w:rsidP="00D80D2B">
      <w:r>
        <w:t>The Commission’s activities in relation to the commercial sector are driven by the three licensing objectives in the Gambling Act 2005:</w:t>
      </w:r>
    </w:p>
    <w:p w:rsidR="002064DD" w:rsidRDefault="00D56D46" w:rsidP="00D80D2B">
      <w:pPr>
        <w:pStyle w:val="ListParagraph"/>
        <w:numPr>
          <w:ilvl w:val="0"/>
          <w:numId w:val="2"/>
        </w:numPr>
      </w:pPr>
      <w:r>
        <w:t>Keep crime out of gambling</w:t>
      </w:r>
    </w:p>
    <w:p w:rsidR="002064DD" w:rsidRDefault="00D56D46" w:rsidP="00D80D2B">
      <w:pPr>
        <w:pStyle w:val="ListParagraph"/>
        <w:numPr>
          <w:ilvl w:val="0"/>
          <w:numId w:val="2"/>
        </w:numPr>
      </w:pPr>
      <w:r>
        <w:t>Ensure that gambling is conducted fairly and openly</w:t>
      </w:r>
    </w:p>
    <w:p w:rsidR="002064DD" w:rsidRPr="00D80D2B" w:rsidRDefault="00D56D46" w:rsidP="00D80D2B">
      <w:pPr>
        <w:pStyle w:val="ListParagraph"/>
        <w:numPr>
          <w:ilvl w:val="0"/>
          <w:numId w:val="2"/>
        </w:numPr>
      </w:pPr>
      <w:r>
        <w:t>Protect children and other vulnerable people from being harmed or exploited by gambling.</w:t>
      </w:r>
    </w:p>
    <w:p w:rsidR="002064DD" w:rsidRDefault="00D56D46" w:rsidP="00D80D2B">
      <w:r>
        <w:t>The Commission’s activities in relation to the National Lottery are driven by the overriding duties in the National Lottery etc Act 1993:</w:t>
      </w:r>
    </w:p>
    <w:p w:rsidR="002064DD" w:rsidRDefault="00D56D46" w:rsidP="00D80D2B">
      <w:pPr>
        <w:pStyle w:val="ListParagraph"/>
        <w:numPr>
          <w:ilvl w:val="0"/>
          <w:numId w:val="8"/>
        </w:numPr>
      </w:pPr>
      <w:r>
        <w:t>That the National Lottery is run, and every lottery that forms part of it, is promoted with all due propriety</w:t>
      </w:r>
    </w:p>
    <w:p w:rsidR="002064DD" w:rsidRDefault="00D56D46" w:rsidP="00D80D2B">
      <w:pPr>
        <w:pStyle w:val="ListParagraph"/>
        <w:numPr>
          <w:ilvl w:val="0"/>
          <w:numId w:val="8"/>
        </w:numPr>
      </w:pPr>
      <w:r>
        <w:t>That the interests of every participant in a lottery that forms part of the National Lottery are protected</w:t>
      </w:r>
    </w:p>
    <w:p w:rsidR="002064DD" w:rsidRPr="00D80D2B" w:rsidRDefault="00D56D46" w:rsidP="00D80D2B">
      <w:pPr>
        <w:pStyle w:val="ListParagraph"/>
        <w:numPr>
          <w:ilvl w:val="0"/>
          <w:numId w:val="8"/>
        </w:numPr>
      </w:pPr>
      <w:r>
        <w:t xml:space="preserve">Subject to those duties, that the net proceeds of the National Lottery are as great as possible. </w:t>
      </w:r>
    </w:p>
    <w:p w:rsidR="00D80D2B" w:rsidRDefault="00D80D2B">
      <w:pPr>
        <w:rPr>
          <w:rFonts w:asciiTheme="majorHAnsi" w:hAnsiTheme="majorHAnsi" w:cstheme="majorBidi"/>
          <w:color w:val="404040" w:themeColor="text1" w:themeTint="BF"/>
          <w:sz w:val="28"/>
          <w:szCs w:val="28"/>
        </w:rPr>
      </w:pPr>
      <w:r>
        <w:br w:type="page"/>
      </w:r>
    </w:p>
    <w:p w:rsidR="002064DD" w:rsidRPr="00D80D2B" w:rsidRDefault="00D56D46" w:rsidP="00D80D2B">
      <w:pPr>
        <w:pStyle w:val="Heading2"/>
        <w:rPr>
          <w:rFonts w:ascii="Arial" w:eastAsia="Arial" w:hAnsi="Arial" w:cs="Arial"/>
          <w:b/>
          <w:u w:val="single"/>
        </w:rPr>
      </w:pPr>
      <w:r>
        <w:rPr>
          <w:rFonts w:eastAsia="Arial"/>
        </w:rPr>
        <w:lastRenderedPageBreak/>
        <w:t>The Commission’s current strategic priorities</w:t>
      </w:r>
    </w:p>
    <w:p w:rsidR="002064DD" w:rsidRPr="00D80D2B" w:rsidRDefault="00D56D46" w:rsidP="00D80D2B">
      <w:r w:rsidRPr="00D80D2B">
        <w:t xml:space="preserve">The gambling sector in Great Britain is constantly changing.  Changes in consumer behaviour and the rapid growth of technology mean that it never stands still for long. It is a uniquely challenging environment.  </w:t>
      </w:r>
    </w:p>
    <w:p w:rsidR="002064DD" w:rsidRPr="00D80D2B" w:rsidRDefault="00EF4B8E" w:rsidP="00D80D2B">
      <w:hyperlink r:id="rId9" w:history="1">
        <w:r w:rsidR="00D56D46" w:rsidRPr="00004FC1">
          <w:rPr>
            <w:rStyle w:val="Hyperlink"/>
          </w:rPr>
          <w:t>The Commission’s Strategy 2021-2024</w:t>
        </w:r>
      </w:hyperlink>
      <w:r w:rsidR="00D56D46" w:rsidRPr="00004FC1">
        <w:t xml:space="preserve"> presents a vision</w:t>
      </w:r>
      <w:r w:rsidR="00D56D46" w:rsidRPr="00D80D2B">
        <w:t xml:space="preserve"> of a gambling market that is safer and fairer for consumers. The strategy focuses on ﬁve key objectives:</w:t>
      </w:r>
    </w:p>
    <w:p w:rsidR="002064DD" w:rsidRPr="00D80D2B" w:rsidRDefault="00D56D46" w:rsidP="00D80D2B">
      <w:pPr>
        <w:pStyle w:val="ListParagraph"/>
        <w:numPr>
          <w:ilvl w:val="0"/>
          <w:numId w:val="10"/>
        </w:numPr>
      </w:pPr>
      <w:r w:rsidRPr="00D80D2B">
        <w:t>Protecting children and vulnerable people from being harmed by gambling</w:t>
      </w:r>
    </w:p>
    <w:p w:rsidR="002064DD" w:rsidRPr="00D80D2B" w:rsidRDefault="00D56D46" w:rsidP="00D80D2B">
      <w:pPr>
        <w:pStyle w:val="ListParagraph"/>
        <w:numPr>
          <w:ilvl w:val="0"/>
          <w:numId w:val="10"/>
        </w:numPr>
      </w:pPr>
      <w:r w:rsidRPr="00D80D2B">
        <w:t>A fairer market and more informed consumers</w:t>
      </w:r>
    </w:p>
    <w:p w:rsidR="002064DD" w:rsidRPr="00D80D2B" w:rsidRDefault="00D56D46" w:rsidP="00D80D2B">
      <w:pPr>
        <w:pStyle w:val="ListParagraph"/>
        <w:numPr>
          <w:ilvl w:val="0"/>
          <w:numId w:val="10"/>
        </w:numPr>
      </w:pPr>
      <w:r w:rsidRPr="00D80D2B">
        <w:t>Keeping crime out of gambling</w:t>
      </w:r>
    </w:p>
    <w:p w:rsidR="002064DD" w:rsidRPr="00D80D2B" w:rsidRDefault="00D56D46" w:rsidP="00D80D2B">
      <w:pPr>
        <w:pStyle w:val="ListParagraph"/>
        <w:numPr>
          <w:ilvl w:val="0"/>
          <w:numId w:val="10"/>
        </w:numPr>
      </w:pPr>
      <w:r w:rsidRPr="00D80D2B">
        <w:t>Optimise returns to good causes from the National Lottery</w:t>
      </w:r>
    </w:p>
    <w:p w:rsidR="00D80D2B" w:rsidRDefault="00D56D46" w:rsidP="00D80D2B">
      <w:pPr>
        <w:pStyle w:val="ListParagraph"/>
        <w:numPr>
          <w:ilvl w:val="0"/>
          <w:numId w:val="10"/>
        </w:numPr>
      </w:pPr>
      <w:r w:rsidRPr="00D80D2B">
        <w:t>Improving gambling regulation</w:t>
      </w:r>
    </w:p>
    <w:p w:rsidR="002064DD" w:rsidRDefault="00D56D46" w:rsidP="00D80D2B">
      <w:r>
        <w:t xml:space="preserve">Drawing from the strategic objectives, current priorities include: </w:t>
      </w:r>
    </w:p>
    <w:p w:rsidR="002064DD" w:rsidRDefault="00D56D46" w:rsidP="00D80D2B">
      <w:pPr>
        <w:pStyle w:val="ListParagraph"/>
        <w:numPr>
          <w:ilvl w:val="0"/>
          <w:numId w:val="1"/>
        </w:numPr>
      </w:pPr>
      <w:r>
        <w:t>Responding appropriately and effectively to the Gambling Act Review</w:t>
      </w:r>
    </w:p>
    <w:p w:rsidR="002064DD" w:rsidRDefault="00D56D46" w:rsidP="00D80D2B">
      <w:pPr>
        <w:pStyle w:val="ListParagraph"/>
        <w:numPr>
          <w:ilvl w:val="0"/>
          <w:numId w:val="1"/>
        </w:numPr>
      </w:pPr>
      <w:r>
        <w:t>Managing a smooth transition from the 3rd to the 4th National Lottery Licence</w:t>
      </w:r>
    </w:p>
    <w:p w:rsidR="002064DD" w:rsidRDefault="00D56D46" w:rsidP="00D80D2B">
      <w:pPr>
        <w:pStyle w:val="ListParagraph"/>
        <w:numPr>
          <w:ilvl w:val="0"/>
          <w:numId w:val="1"/>
        </w:numPr>
      </w:pPr>
      <w:r>
        <w:t>Continuing to drive improvements in consumer protection and prevention of harm, and evaluating the impact and success of changes already introduced</w:t>
      </w:r>
    </w:p>
    <w:p w:rsidR="002064DD" w:rsidRDefault="00D56D46" w:rsidP="00D80D2B">
      <w:pPr>
        <w:pStyle w:val="ListParagraph"/>
        <w:numPr>
          <w:ilvl w:val="0"/>
          <w:numId w:val="1"/>
        </w:numPr>
      </w:pPr>
      <w:r>
        <w:t>Combatting illegal gambling</w:t>
      </w:r>
    </w:p>
    <w:p w:rsidR="002064DD" w:rsidRDefault="002064DD" w:rsidP="00D80D2B"/>
    <w:p w:rsidR="002064DD" w:rsidRDefault="00D56D46" w:rsidP="00D80D2B">
      <w:r>
        <w:br w:type="page"/>
      </w:r>
    </w:p>
    <w:p w:rsidR="002064DD" w:rsidRDefault="00D56D46" w:rsidP="00D80D2B">
      <w:pPr>
        <w:pStyle w:val="Heading1"/>
        <w:rPr>
          <w:rFonts w:eastAsia="Arial"/>
          <w:color w:val="0B0C0C"/>
        </w:rPr>
      </w:pPr>
      <w:r>
        <w:rPr>
          <w:rFonts w:eastAsia="Arial"/>
        </w:rPr>
        <w:lastRenderedPageBreak/>
        <w:t>Person specification (essential criteria)</w:t>
      </w:r>
    </w:p>
    <w:p w:rsidR="002064DD" w:rsidRPr="00D80D2B" w:rsidRDefault="00D56D46" w:rsidP="00D80D2B">
      <w:pPr>
        <w:pStyle w:val="ListParagraph"/>
        <w:numPr>
          <w:ilvl w:val="0"/>
          <w:numId w:val="4"/>
        </w:numPr>
        <w:rPr>
          <w:b/>
          <w:highlight w:val="white"/>
        </w:rPr>
      </w:pPr>
      <w:r w:rsidRPr="00D80D2B">
        <w:rPr>
          <w:highlight w:val="white"/>
        </w:rPr>
        <w:t>An understanding of the policy and/or legislative environment within which a regulator such as the Gambling Commission operates;</w:t>
      </w:r>
    </w:p>
    <w:p w:rsidR="002064DD" w:rsidRPr="00D80D2B" w:rsidRDefault="00D56D46" w:rsidP="00D80D2B">
      <w:pPr>
        <w:pStyle w:val="ListParagraph"/>
        <w:numPr>
          <w:ilvl w:val="0"/>
          <w:numId w:val="4"/>
        </w:numPr>
        <w:rPr>
          <w:b/>
          <w:highlight w:val="white"/>
        </w:rPr>
      </w:pPr>
      <w:r w:rsidRPr="00D80D2B">
        <w:rPr>
          <w:highlight w:val="white"/>
        </w:rPr>
        <w:t>Evidence of working as part of a team towards a shared goal, including ability to make a strong personal contribution;</w:t>
      </w:r>
    </w:p>
    <w:p w:rsidR="002064DD" w:rsidRPr="00D80D2B" w:rsidRDefault="00D56D46" w:rsidP="00D80D2B">
      <w:pPr>
        <w:pStyle w:val="ListParagraph"/>
        <w:numPr>
          <w:ilvl w:val="0"/>
          <w:numId w:val="4"/>
        </w:numPr>
        <w:rPr>
          <w:b/>
          <w:highlight w:val="white"/>
        </w:rPr>
      </w:pPr>
      <w:r w:rsidRPr="00D80D2B">
        <w:rPr>
          <w:highlight w:val="white"/>
        </w:rPr>
        <w:t>The ability to analyse complex material and take well-reasoned decisions;</w:t>
      </w:r>
    </w:p>
    <w:p w:rsidR="002064DD" w:rsidRPr="00D80D2B" w:rsidRDefault="00D56D46" w:rsidP="00D80D2B">
      <w:pPr>
        <w:pStyle w:val="ListParagraph"/>
        <w:numPr>
          <w:ilvl w:val="0"/>
          <w:numId w:val="4"/>
        </w:numPr>
        <w:rPr>
          <w:b/>
          <w:highlight w:val="white"/>
        </w:rPr>
      </w:pPr>
      <w:r w:rsidRPr="00D80D2B">
        <w:rPr>
          <w:highlight w:val="white"/>
        </w:rPr>
        <w:t xml:space="preserve">A commitment to improving opportunities for people throughout the UK and access to people from a diverse range of backgrounds. </w:t>
      </w:r>
    </w:p>
    <w:p w:rsidR="002064DD" w:rsidRDefault="00D56D46" w:rsidP="00D80D2B">
      <w:r>
        <w:t xml:space="preserve">The Gambling Commission is seeking at least three general members as well as candidates with expert experience in the following fields: Consumer Protection and Insight; Data Science and Digital Innovation; and Law Enforcement. When submitting your application please indicate which role you are applying for. </w:t>
      </w:r>
    </w:p>
    <w:p w:rsidR="002064DD" w:rsidRDefault="00D56D46" w:rsidP="00D80D2B">
      <w:r w:rsidRPr="00D80D2B">
        <w:rPr>
          <w:rStyle w:val="Heading3Char"/>
        </w:rPr>
        <w:t>Consumer Protection and Insight</w:t>
      </w:r>
      <w:r>
        <w:rPr>
          <w:b/>
        </w:rPr>
        <w:t xml:space="preserve">: </w:t>
      </w:r>
      <w:r>
        <w:t xml:space="preserve">Applicants for the Consumer Protection and Insight role must demonstrate their experience of engagement with consumer groups research and/or enforcing consumer rights. </w:t>
      </w:r>
    </w:p>
    <w:p w:rsidR="002064DD" w:rsidRDefault="00D56D46" w:rsidP="00D80D2B">
      <w:r w:rsidRPr="00D80D2B">
        <w:rPr>
          <w:rStyle w:val="Heading3Char"/>
        </w:rPr>
        <w:t>Data Science and Digital Innovation</w:t>
      </w:r>
      <w:r>
        <w:rPr>
          <w:b/>
        </w:rPr>
        <w:t xml:space="preserve">: </w:t>
      </w:r>
      <w:r>
        <w:t xml:space="preserve">Applicants for the Data Science and Digital Innovation role must demonstrate experience of using data for compliance or performance management in a regulated sector. </w:t>
      </w:r>
    </w:p>
    <w:p w:rsidR="002064DD" w:rsidRDefault="00D56D46" w:rsidP="00D80D2B">
      <w:r w:rsidRPr="00D80D2B">
        <w:rPr>
          <w:rStyle w:val="Heading3Char"/>
        </w:rPr>
        <w:t>Law Enforcement</w:t>
      </w:r>
      <w:r>
        <w:rPr>
          <w:b/>
        </w:rPr>
        <w:t xml:space="preserve">: </w:t>
      </w:r>
      <w:r>
        <w:t xml:space="preserve">Applicants for the Law Enforcement role must demonstrate expert knowledge and experience in criminal investigations. </w:t>
      </w:r>
    </w:p>
    <w:p w:rsidR="002064DD" w:rsidRDefault="00D56D46" w:rsidP="00D80D2B">
      <w:pPr>
        <w:pStyle w:val="Heading2"/>
        <w:rPr>
          <w:rFonts w:eastAsia="Arial"/>
        </w:rPr>
      </w:pPr>
      <w:r>
        <w:rPr>
          <w:rFonts w:eastAsia="Arial"/>
        </w:rPr>
        <w:t xml:space="preserve">Desirable Criteria </w:t>
      </w:r>
    </w:p>
    <w:p w:rsidR="002064DD" w:rsidRPr="00D80D2B" w:rsidRDefault="00D56D46" w:rsidP="00D80D2B">
      <w:pPr>
        <w:pStyle w:val="Heading3"/>
      </w:pPr>
      <w:r w:rsidRPr="00D80D2B">
        <w:t>General Members</w:t>
      </w:r>
    </w:p>
    <w:p w:rsidR="002064DD" w:rsidRDefault="00D56D46" w:rsidP="00D80D2B">
      <w:r>
        <w:t>Expertise or experience in the following fields would be desirable for general members</w:t>
      </w:r>
    </w:p>
    <w:p w:rsidR="002064DD" w:rsidRDefault="00D56D46" w:rsidP="00D80D2B">
      <w:pPr>
        <w:pStyle w:val="ListParagraph"/>
        <w:numPr>
          <w:ilvl w:val="0"/>
          <w:numId w:val="5"/>
        </w:numPr>
      </w:pPr>
      <w:r>
        <w:t>Corporate experience in a regulated sector</w:t>
      </w:r>
    </w:p>
    <w:p w:rsidR="002064DD" w:rsidRDefault="00D56D46" w:rsidP="00D80D2B">
      <w:pPr>
        <w:pStyle w:val="ListParagraph"/>
        <w:numPr>
          <w:ilvl w:val="0"/>
          <w:numId w:val="5"/>
        </w:numPr>
      </w:pPr>
      <w:r>
        <w:t xml:space="preserve">Regulatory experience </w:t>
      </w:r>
    </w:p>
    <w:p w:rsidR="002064DD" w:rsidRDefault="00D56D46" w:rsidP="00D80D2B">
      <w:pPr>
        <w:pStyle w:val="ListParagraph"/>
        <w:numPr>
          <w:ilvl w:val="0"/>
          <w:numId w:val="5"/>
        </w:numPr>
      </w:pPr>
      <w:r>
        <w:t>Improving financial effectiveness and assurance</w:t>
      </w:r>
    </w:p>
    <w:p w:rsidR="002064DD" w:rsidRDefault="00D56D46" w:rsidP="00D80D2B">
      <w:pPr>
        <w:pStyle w:val="ListParagraph"/>
        <w:numPr>
          <w:ilvl w:val="0"/>
          <w:numId w:val="5"/>
        </w:numPr>
      </w:pPr>
      <w:r>
        <w:t>Communications and Public Affairs</w:t>
      </w:r>
    </w:p>
    <w:p w:rsidR="002064DD" w:rsidRDefault="00D56D46" w:rsidP="00D80D2B">
      <w:pPr>
        <w:pStyle w:val="ListParagraph"/>
        <w:numPr>
          <w:ilvl w:val="0"/>
          <w:numId w:val="5"/>
        </w:numPr>
      </w:pPr>
      <w:r>
        <w:t xml:space="preserve">Stakeholder Management </w:t>
      </w:r>
    </w:p>
    <w:p w:rsidR="002064DD" w:rsidRDefault="00D56D46" w:rsidP="00D80D2B">
      <w:pPr>
        <w:pStyle w:val="ListParagraph"/>
        <w:numPr>
          <w:ilvl w:val="0"/>
          <w:numId w:val="5"/>
        </w:numPr>
      </w:pPr>
      <w:r>
        <w:t>Human Resources</w:t>
      </w:r>
    </w:p>
    <w:p w:rsidR="002064DD" w:rsidRDefault="00D56D46" w:rsidP="00D80D2B">
      <w:pPr>
        <w:pStyle w:val="ListParagraph"/>
        <w:numPr>
          <w:ilvl w:val="0"/>
          <w:numId w:val="5"/>
        </w:numPr>
      </w:pPr>
      <w:r>
        <w:t>Supporting organisational change</w:t>
      </w:r>
    </w:p>
    <w:p w:rsidR="002064DD" w:rsidRDefault="00D56D46" w:rsidP="00D80D2B">
      <w:r w:rsidRPr="00D80D2B">
        <w:rPr>
          <w:rStyle w:val="Heading3Char"/>
        </w:rPr>
        <w:t>Data Science and Digital Innovation</w:t>
      </w:r>
      <w:r>
        <w:rPr>
          <w:b/>
        </w:rPr>
        <w:t xml:space="preserve">: </w:t>
      </w:r>
      <w:r>
        <w:t>Experience delivering digital innovation, particularly in the financial or entertainment sector.</w:t>
      </w:r>
    </w:p>
    <w:p w:rsidR="002064DD" w:rsidRDefault="00D56D46" w:rsidP="00D80D2B">
      <w:r w:rsidRPr="00D80D2B">
        <w:rPr>
          <w:rStyle w:val="Heading3Char"/>
        </w:rPr>
        <w:t>Law Enforcement</w:t>
      </w:r>
      <w:r>
        <w:rPr>
          <w:b/>
        </w:rPr>
        <w:t xml:space="preserve">: </w:t>
      </w:r>
      <w:r>
        <w:t>Knowledge or experience addressing gambling-related crime, financial crime and/or money laundering.</w:t>
      </w:r>
    </w:p>
    <w:p w:rsidR="002064DD" w:rsidRDefault="002064DD" w:rsidP="00D80D2B"/>
    <w:p w:rsidR="002064DD" w:rsidRDefault="00D56D46" w:rsidP="00D80D2B">
      <w:r>
        <w:br w:type="page"/>
      </w:r>
    </w:p>
    <w:p w:rsidR="002064DD" w:rsidRDefault="00D56D46" w:rsidP="00FA5887">
      <w:pPr>
        <w:pStyle w:val="Heading3"/>
        <w:spacing w:after="240"/>
      </w:pPr>
      <w:r>
        <w:lastRenderedPageBreak/>
        <w:t>Time commitment: Ad-hoc</w:t>
      </w:r>
      <w:r w:rsidR="00FA5887">
        <w:t xml:space="preserve">. </w:t>
      </w:r>
      <w:r w:rsidR="00FA5887" w:rsidRPr="00FA5887">
        <w:rPr>
          <w:b w:val="0"/>
        </w:rPr>
        <w:t>The Board meets 6 times per year and has four committees. Commissioners are expected to serve on one committee. Regulation Panels are irregular and do not have fixed membership, so Commissioners only participate if they are able to do so. The roles are expected to start in Summer 2023.</w:t>
      </w:r>
    </w:p>
    <w:p w:rsidR="002064DD" w:rsidRPr="00FA5887" w:rsidRDefault="00D56D46" w:rsidP="00FA5887">
      <w:pPr>
        <w:pStyle w:val="Heading3"/>
        <w:spacing w:after="240"/>
        <w:rPr>
          <w:b w:val="0"/>
        </w:rPr>
      </w:pPr>
      <w:r>
        <w:t xml:space="preserve">Remuneration: </w:t>
      </w:r>
      <w:r w:rsidRPr="00FA5887">
        <w:rPr>
          <w:b w:val="0"/>
        </w:rPr>
        <w:t>£14,160 per annum / £295 per day</w:t>
      </w:r>
      <w:r w:rsidR="0055304A" w:rsidRPr="00FA5887">
        <w:rPr>
          <w:b w:val="0"/>
        </w:rPr>
        <w:t xml:space="preserve"> + Expenses </w:t>
      </w:r>
    </w:p>
    <w:p w:rsidR="002064DD" w:rsidRDefault="00D56D46" w:rsidP="00FA5887">
      <w:pPr>
        <w:pStyle w:val="Heading3"/>
        <w:spacing w:after="240"/>
      </w:pPr>
      <w:r>
        <w:t xml:space="preserve">Term of Appointment: </w:t>
      </w:r>
      <w:r w:rsidRPr="00FA5887">
        <w:rPr>
          <w:b w:val="0"/>
        </w:rPr>
        <w:t>4 - 5 years</w:t>
      </w:r>
    </w:p>
    <w:p w:rsidR="00FA5887" w:rsidRPr="00FA5887" w:rsidRDefault="00FA5887" w:rsidP="00FA5887">
      <w:pPr>
        <w:spacing w:after="240"/>
      </w:pPr>
      <w:r>
        <w:rPr>
          <w:b/>
          <w:bCs/>
          <w:color w:val="222222"/>
          <w:shd w:val="clear" w:color="auto" w:fill="FFFFFF"/>
        </w:rPr>
        <w:t xml:space="preserve">Location: </w:t>
      </w:r>
      <w:r>
        <w:rPr>
          <w:color w:val="222222"/>
          <w:shd w:val="clear" w:color="auto" w:fill="FFFFFF"/>
        </w:rPr>
        <w:t>Head Offices in Birmingham, however many Commissioners take a hybrid approach to fulfilling their duties </w:t>
      </w:r>
    </w:p>
    <w:p w:rsidR="002064DD" w:rsidRPr="00D80D2B" w:rsidRDefault="00D56D46" w:rsidP="00FA5887">
      <w:pPr>
        <w:pStyle w:val="Heading3"/>
        <w:spacing w:after="240"/>
      </w:pPr>
      <w:r>
        <w:t xml:space="preserve">The current Board: </w:t>
      </w:r>
      <w:r w:rsidRPr="00FA5887">
        <w:rPr>
          <w:b w:val="0"/>
        </w:rPr>
        <w:t>The Board currently comprises 6 Commissioners including the Chair, Marcus Boyle.</w:t>
      </w:r>
      <w:r>
        <w:t xml:space="preserve"> </w:t>
      </w:r>
    </w:p>
    <w:p w:rsidR="002064DD" w:rsidRDefault="00D56D46" w:rsidP="00D80D2B">
      <w:pPr>
        <w:pStyle w:val="Heading1"/>
        <w:rPr>
          <w:rFonts w:eastAsia="Arial"/>
        </w:rPr>
      </w:pPr>
      <w:r>
        <w:rPr>
          <w:rFonts w:eastAsia="Arial"/>
        </w:rPr>
        <w:t>How to apply</w:t>
      </w:r>
    </w:p>
    <w:p w:rsidR="002064DD" w:rsidRDefault="00D56D46" w:rsidP="00D80D2B">
      <w:r>
        <w:t>To apply, please send:</w:t>
      </w:r>
    </w:p>
    <w:p w:rsidR="002064DD" w:rsidRDefault="00D56D46" w:rsidP="00D80D2B">
      <w:pPr>
        <w:pStyle w:val="ListParagraph"/>
        <w:numPr>
          <w:ilvl w:val="0"/>
          <w:numId w:val="6"/>
        </w:numPr>
      </w:pPr>
      <w:r>
        <w:t>A CV of no more than two sides of A4; this should provide details of your education and qualifications, employment history, directorships, membership of professional bodies and details of any publications or awards;</w:t>
      </w:r>
    </w:p>
    <w:p w:rsidR="002064DD" w:rsidRDefault="00D56D46" w:rsidP="00D80D2B">
      <w:pPr>
        <w:pStyle w:val="ListParagraph"/>
        <w:numPr>
          <w:ilvl w:val="0"/>
          <w:numId w:val="6"/>
        </w:numPr>
      </w:pPr>
      <w:r>
        <w:t>A supporting statement setting out how you meet the criteria for appointment, as set out in the person specification for the role;</w:t>
      </w:r>
    </w:p>
    <w:p w:rsidR="002064DD" w:rsidRDefault="00D56D46" w:rsidP="00D80D2B">
      <w:pPr>
        <w:pStyle w:val="ListParagraph"/>
        <w:numPr>
          <w:ilvl w:val="0"/>
          <w:numId w:val="6"/>
        </w:numPr>
      </w:pPr>
      <w:r>
        <w:t>Information relating to any outside interests or reputational issues; please complete the attached Declaration of Conflicts of Interest Form</w:t>
      </w:r>
    </w:p>
    <w:p w:rsidR="002064DD" w:rsidRDefault="00D56D46" w:rsidP="00D80D2B">
      <w:pPr>
        <w:pStyle w:val="ListParagraph"/>
        <w:numPr>
          <w:ilvl w:val="0"/>
          <w:numId w:val="6"/>
        </w:numPr>
      </w:pPr>
      <w:r w:rsidRPr="00D80D2B">
        <w:rPr>
          <w:color w:val="0B0C0C"/>
        </w:rPr>
        <w:t xml:space="preserve">Diversity monitoring information - please follow </w:t>
      </w:r>
      <w:hyperlink r:id="rId10">
        <w:r w:rsidRPr="00D80D2B">
          <w:rPr>
            <w:b/>
            <w:color w:val="1155CC"/>
            <w:u w:val="single"/>
          </w:rPr>
          <w:t>this link</w:t>
        </w:r>
      </w:hyperlink>
      <w:r w:rsidRPr="00D80D2B">
        <w:rPr>
          <w:color w:val="0B0C0C"/>
        </w:rPr>
        <w:t>. This allows us to see if there are any unfair barriers to becoming a public appointee and whether there are any changes that we could make to encourage a more diverse field to apply. You can select “prefer not to say” to any question you do not wish to answer. The information you provide will not be used as part of the selection process and will not be seen by the interview panel;</w:t>
      </w:r>
    </w:p>
    <w:p w:rsidR="002064DD" w:rsidRDefault="00D56D46" w:rsidP="00D80D2B">
      <w:pPr>
        <w:pStyle w:val="ListParagraph"/>
        <w:numPr>
          <w:ilvl w:val="0"/>
          <w:numId w:val="6"/>
        </w:numPr>
      </w:pPr>
      <w:r>
        <w:t>Disability Confident – please state if you want to be considered for the disability confident scheme;</w:t>
      </w:r>
    </w:p>
    <w:p w:rsidR="002064DD" w:rsidRDefault="00D56D46" w:rsidP="00D80D2B">
      <w:pPr>
        <w:pStyle w:val="ListParagraph"/>
        <w:numPr>
          <w:ilvl w:val="0"/>
          <w:numId w:val="6"/>
        </w:numPr>
      </w:pPr>
      <w:r>
        <w:t>Reasonable adjustments - requests for reasonable adjustments that you would like to the application process (if applicable);</w:t>
      </w:r>
    </w:p>
    <w:p w:rsidR="002064DD" w:rsidRDefault="00D56D46" w:rsidP="00D80D2B">
      <w:r>
        <w:t xml:space="preserve">Completed applications should be sent to: </w:t>
      </w:r>
      <w:r>
        <w:rPr>
          <w:color w:val="005EA5"/>
        </w:rPr>
        <w:t>publicappointments@dcms.gov.uk</w:t>
      </w:r>
      <w:r>
        <w:t>. Please put ‘</w:t>
      </w:r>
      <w:r>
        <w:rPr>
          <w:b/>
        </w:rPr>
        <w:t>Gambling Commission</w:t>
      </w:r>
      <w:r>
        <w:t xml:space="preserve"> </w:t>
      </w:r>
      <w:r>
        <w:rPr>
          <w:b/>
        </w:rPr>
        <w:t xml:space="preserve">Application’ </w:t>
      </w:r>
      <w:r>
        <w:t>in the subject line and specify which of the roles you are interested in.</w:t>
      </w:r>
    </w:p>
    <w:p w:rsidR="002064DD" w:rsidRDefault="00D56D46" w:rsidP="00D80D2B">
      <w:r>
        <w:t xml:space="preserve">If you have any questions about the appointments process, please contact </w:t>
      </w:r>
      <w:r>
        <w:rPr>
          <w:b/>
        </w:rPr>
        <w:t>Fi Darcy</w:t>
      </w:r>
      <w:r>
        <w:t xml:space="preserve"> at </w:t>
      </w:r>
      <w:hyperlink r:id="rId11">
        <w:r>
          <w:rPr>
            <w:color w:val="1155CC"/>
            <w:u w:val="single"/>
          </w:rPr>
          <w:t>fiona.darcy@dcms.gov.uk</w:t>
        </w:r>
      </w:hyperlink>
      <w:r>
        <w:rPr>
          <w:b/>
        </w:rPr>
        <w:t xml:space="preserve"> </w:t>
      </w:r>
      <w:r>
        <w:t xml:space="preserve">or </w:t>
      </w:r>
      <w:hyperlink r:id="rId12">
        <w:r>
          <w:rPr>
            <w:color w:val="1155CC"/>
            <w:u w:val="single"/>
          </w:rPr>
          <w:t>publicappointments@dcms.gov.uk</w:t>
        </w:r>
      </w:hyperlink>
      <w:r>
        <w:t xml:space="preserve">. </w:t>
      </w:r>
    </w:p>
    <w:p w:rsidR="002064DD" w:rsidRDefault="00D56D46" w:rsidP="00D80D2B">
      <w:r>
        <w:t xml:space="preserve">If you would like to speak about the role itself, please contact </w:t>
      </w:r>
      <w:r>
        <w:rPr>
          <w:b/>
        </w:rPr>
        <w:t>Helen Child</w:t>
      </w:r>
      <w:r>
        <w:t xml:space="preserve"> at the Gambling Commission at </w:t>
      </w:r>
      <w:hyperlink r:id="rId13">
        <w:r>
          <w:rPr>
            <w:color w:val="1155CC"/>
            <w:u w:val="single"/>
          </w:rPr>
          <w:t>hchild@gamblingcommission.gov.uk</w:t>
        </w:r>
      </w:hyperlink>
      <w:r>
        <w:t xml:space="preserve">. </w:t>
      </w:r>
    </w:p>
    <w:p w:rsidR="002064DD" w:rsidRPr="00D80D2B" w:rsidRDefault="00D56D46" w:rsidP="00D80D2B">
      <w:r>
        <w:lastRenderedPageBreak/>
        <w:t>DCMS is unable to provide feedback at the shortlist stage due to the volume of applications we receive. Feedback can be provided if requested to candidates following the interview stage.</w:t>
      </w:r>
    </w:p>
    <w:p w:rsidR="002064DD" w:rsidRPr="00FA5887" w:rsidRDefault="00D56D46" w:rsidP="00D80D2B">
      <w:pPr>
        <w:rPr>
          <w:rFonts w:asciiTheme="majorHAnsi" w:eastAsiaTheme="majorEastAsia" w:hAnsiTheme="majorHAnsi" w:cstheme="majorBidi"/>
          <w:color w:val="B3186D" w:themeColor="accent1" w:themeShade="BF"/>
          <w:sz w:val="32"/>
          <w:szCs w:val="32"/>
        </w:rPr>
      </w:pPr>
      <w:bookmarkStart w:id="0" w:name="_GoBack"/>
      <w:bookmarkEnd w:id="0"/>
      <w:r w:rsidRPr="00D80D2B">
        <w:rPr>
          <w:rStyle w:val="Heading1Char"/>
        </w:rPr>
        <w:t>Diversity and inclusion</w:t>
      </w:r>
      <w:r>
        <w:rPr>
          <w:b/>
        </w:rPr>
        <w:br/>
      </w:r>
      <w:r>
        <w:t>We want to ensure any appointee is committed to promoting diversity, in its broadest possible sense. This will include embedding a commitment to the principles of levelling up and championing opportunity for all across the organisation, helping to ensure that the organisation is one in which a genuinely diverse range of views can be expressed, without fear or favour.</w:t>
      </w:r>
    </w:p>
    <w:p w:rsidR="002064DD" w:rsidRDefault="00D56D46" w:rsidP="00D80D2B">
      <w:r>
        <w:t>We ask all applicants to complete a diversity monitoring form. We hope you will help us by providing this information. Your data is not disclosed to the panel, but allows us to constantly evaluate any potential barriers to becoming a public appointee and what we can do to encourage a more diverse field to apply.</w:t>
      </w:r>
    </w:p>
    <w:p w:rsidR="002064DD" w:rsidRDefault="00D56D46" w:rsidP="00D80D2B">
      <w:r w:rsidRPr="00D80D2B">
        <w:rPr>
          <w:rStyle w:val="Heading1Char"/>
        </w:rPr>
        <w:t>Disability Confident</w:t>
      </w:r>
      <w:r>
        <w:rPr>
          <w:b/>
        </w:rPr>
        <w:br/>
      </w:r>
      <w:r>
        <w:t>We guarantee to interview anyone with a disability whose application meets the minimum criteria for the role. By ‘minimum criteria,’ we mean that you must provide evidence in your application, which demonstrates that you meet the level of competence required under the majority of the essential criteria.</w:t>
      </w:r>
    </w:p>
    <w:p w:rsidR="002064DD" w:rsidRDefault="00D56D46" w:rsidP="00D80D2B">
      <w:r>
        <w:t>If you wish to apply under this scheme, state this in the covering email or letter when submitting your application. This will in no way prejudice your application.</w:t>
      </w:r>
      <w:r>
        <w:br/>
      </w:r>
      <w:r w:rsidRPr="00D80D2B">
        <w:rPr>
          <w:rStyle w:val="Heading1Char"/>
        </w:rPr>
        <w:t>Reasonable adjustments</w:t>
      </w:r>
      <w:r>
        <w:br/>
        <w:t xml:space="preserve">We are committed to supporting all candidates to perform at their best throughout the appointments process. This includes making reasonable adjustments to our process. Common reasonable adjustments include alternative formats for your application (e.g. a verbal/video submission of your statement or CV), offering alternative interview times or locations, providing an interpreter or scribe, or allowing candidates additional time to prepare for questions ahead of the interview. If you would like a confidential discussion regarding any possible reasonable adjustments ahead of making your application or during the process, please contact us. </w:t>
      </w:r>
    </w:p>
    <w:p w:rsidR="002064DD" w:rsidRDefault="00D56D46" w:rsidP="00D80D2B">
      <w:r>
        <w:br w:type="page"/>
      </w:r>
    </w:p>
    <w:p w:rsidR="002064DD" w:rsidRDefault="00D56D46" w:rsidP="00D80D2B">
      <w:pPr>
        <w:pStyle w:val="Heading1"/>
        <w:rPr>
          <w:rFonts w:eastAsia="Arial"/>
        </w:rPr>
      </w:pPr>
      <w:r>
        <w:rPr>
          <w:rFonts w:eastAsia="Arial"/>
        </w:rPr>
        <w:lastRenderedPageBreak/>
        <w:t>About DCMS</w:t>
      </w:r>
    </w:p>
    <w:p w:rsidR="00D80D2B" w:rsidRPr="00D80D2B" w:rsidRDefault="00D56D46" w:rsidP="00D80D2B">
      <w:pPr>
        <w:rPr>
          <w:b/>
        </w:rPr>
      </w:pPr>
      <w:r>
        <w:t>Our department operates at the heart of government on some of the UK’s biggest economic and social issues. Our mission is to drive growth, enrich lives and promote the UK to the world. We champion innovation and creativity. From the Arts to Artificial Intelligence, a quarter of UK businesses are in our sectors, and are among the fastest growing of our economy. Emerging technology is opening up new possibilities for human endeavour and self-expression. But we need to harness it, create new norms for the online world and build a strong civil society so that the benefits are shared by all. Our actions over more than 25 years of DCMS have become woven into the fabric of our nation. Today we continue to shape the world we want to live in – building a future fit for everyone.</w:t>
      </w:r>
    </w:p>
    <w:p w:rsidR="002064DD" w:rsidRDefault="00D56D46" w:rsidP="00D80D2B">
      <w:pPr>
        <w:pStyle w:val="Heading1"/>
        <w:rPr>
          <w:rFonts w:eastAsia="Arial"/>
        </w:rPr>
      </w:pPr>
      <w:r>
        <w:rPr>
          <w:rFonts w:eastAsia="Arial"/>
        </w:rPr>
        <w:t>If you are not completely satisfied</w:t>
      </w:r>
    </w:p>
    <w:p w:rsidR="002064DD" w:rsidRDefault="00D56D46" w:rsidP="00D80D2B">
      <w:r>
        <w:t xml:space="preserve">We aim to process all applications as quickly as possible and to treat all applicants with courtesy. If you have any complaints about the way your application has been handled, please contact </w:t>
      </w:r>
      <w:hyperlink r:id="rId14">
        <w:r>
          <w:rPr>
            <w:u w:val="single"/>
          </w:rPr>
          <w:t>publicappointments@dcms.gov.uk</w:t>
        </w:r>
      </w:hyperlink>
      <w:r>
        <w:t>.</w:t>
      </w:r>
    </w:p>
    <w:p w:rsidR="002064DD" w:rsidRDefault="00D56D46" w:rsidP="00D80D2B">
      <w:pPr>
        <w:pStyle w:val="Heading1"/>
        <w:rPr>
          <w:rFonts w:eastAsia="Arial"/>
        </w:rPr>
      </w:pPr>
      <w:r>
        <w:rPr>
          <w:rFonts w:eastAsia="Arial"/>
        </w:rPr>
        <w:t>Supporting information</w:t>
      </w:r>
    </w:p>
    <w:p w:rsidR="002064DD" w:rsidRDefault="00D56D46" w:rsidP="00D80D2B">
      <w:r>
        <w:t xml:space="preserve">This appointments process adheres to the Cabinet Office </w:t>
      </w:r>
      <w:hyperlink r:id="rId15">
        <w:r>
          <w:rPr>
            <w:u w:val="single"/>
          </w:rPr>
          <w:t>Governance Code on Public Appointments</w:t>
        </w:r>
      </w:hyperlink>
      <w:r>
        <w:t xml:space="preserve">, which is regulated by the Commissioner for Public Appointments. </w:t>
      </w:r>
    </w:p>
    <w:p w:rsidR="002064DD" w:rsidRDefault="002064DD" w:rsidP="00D80D2B"/>
    <w:p w:rsidR="002064DD" w:rsidRDefault="00D56D46" w:rsidP="00D80D2B">
      <w:r>
        <w:t>All applicants are expected to abide by the</w:t>
      </w:r>
      <w:r>
        <w:rPr>
          <w:u w:val="single"/>
        </w:rPr>
        <w:t xml:space="preserve"> Seven Principles of Public Life </w:t>
      </w:r>
      <w:r>
        <w:t xml:space="preserve">and the </w:t>
      </w:r>
      <w:hyperlink r:id="rId16">
        <w:r>
          <w:rPr>
            <w:color w:val="1155CC"/>
            <w:u w:val="single"/>
          </w:rPr>
          <w:t>12 Principles of Governance.</w:t>
        </w:r>
      </w:hyperlink>
    </w:p>
    <w:p w:rsidR="002064DD" w:rsidRDefault="00D56D46" w:rsidP="00D80D2B">
      <w:r>
        <w:t xml:space="preserve">Eligibility Criteria </w:t>
      </w:r>
    </w:p>
    <w:p w:rsidR="002064DD" w:rsidRDefault="00D56D46" w:rsidP="00D80D2B">
      <w:r>
        <w:t>You cannot be considered for a public appointment if:</w:t>
      </w:r>
    </w:p>
    <w:p w:rsidR="002064DD" w:rsidRDefault="00D56D46" w:rsidP="00D80D2B">
      <w:pPr>
        <w:pStyle w:val="ListParagraph"/>
        <w:numPr>
          <w:ilvl w:val="0"/>
          <w:numId w:val="7"/>
        </w:numPr>
      </w:pPr>
      <w:r>
        <w:t xml:space="preserve">you become bankrupt or </w:t>
      </w:r>
      <w:proofErr w:type="gramStart"/>
      <w:r>
        <w:t>make an arrangement</w:t>
      </w:r>
      <w:proofErr w:type="gramEnd"/>
      <w:r>
        <w:t xml:space="preserve"> with a creditor</w:t>
      </w:r>
    </w:p>
    <w:p w:rsidR="002064DD" w:rsidRDefault="00D56D46" w:rsidP="00D80D2B">
      <w:pPr>
        <w:pStyle w:val="ListParagraph"/>
        <w:numPr>
          <w:ilvl w:val="0"/>
          <w:numId w:val="7"/>
        </w:numPr>
      </w:pPr>
      <w:r>
        <w:t>your estate has been sequestrated in Scotland or you enter into a debt arrangement programme under Part 1 of the Debt Arrangement and Attachment (Scotland) Act 2002 (asp 17) as the debtor or have, under Scots law, granted a trust deed for creditors;</w:t>
      </w:r>
    </w:p>
    <w:p w:rsidR="002064DD" w:rsidRDefault="00D56D46" w:rsidP="00D80D2B">
      <w:pPr>
        <w:pStyle w:val="ListParagraph"/>
        <w:numPr>
          <w:ilvl w:val="0"/>
          <w:numId w:val="7"/>
        </w:numPr>
      </w:pPr>
      <w:r>
        <w:t>you are disqualified from acting as a company director under the Company Directors Disqualification Act 1986;</w:t>
      </w:r>
    </w:p>
    <w:p w:rsidR="002064DD" w:rsidRDefault="00D56D46" w:rsidP="00D80D2B">
      <w:pPr>
        <w:pStyle w:val="ListParagraph"/>
        <w:numPr>
          <w:ilvl w:val="0"/>
          <w:numId w:val="7"/>
        </w:numPr>
      </w:pPr>
      <w:r>
        <w:t>you have been convicted of a criminal offence, the conviction not being spent for the purposes of the Rehabilitation of Offenders Act 1974 (c. 53);</w:t>
      </w:r>
    </w:p>
    <w:p w:rsidR="002064DD" w:rsidRDefault="00D56D46" w:rsidP="00D80D2B">
      <w:pPr>
        <w:pStyle w:val="ListParagraph"/>
        <w:numPr>
          <w:ilvl w:val="0"/>
          <w:numId w:val="7"/>
        </w:numPr>
      </w:pPr>
      <w:r>
        <w:t>you become subject to a debt relief order or a bankruptcy restrictions order;</w:t>
      </w:r>
    </w:p>
    <w:p w:rsidR="002064DD" w:rsidRDefault="00D56D46" w:rsidP="00D80D2B">
      <w:pPr>
        <w:pStyle w:val="ListParagraph"/>
        <w:numPr>
          <w:ilvl w:val="0"/>
          <w:numId w:val="7"/>
        </w:numPr>
      </w:pPr>
      <w:r>
        <w:t>you fail to declare any conflict of interest.</w:t>
      </w:r>
    </w:p>
    <w:p w:rsidR="002064DD" w:rsidRDefault="00D56D46" w:rsidP="00D80D2B">
      <w:pPr>
        <w:pStyle w:val="Heading1"/>
        <w:rPr>
          <w:rFonts w:eastAsia="Arial"/>
        </w:rPr>
      </w:pPr>
      <w:r>
        <w:rPr>
          <w:rFonts w:eastAsia="Arial"/>
        </w:rPr>
        <w:lastRenderedPageBreak/>
        <w:t>Conflicts of Interest and Due Diligence</w:t>
      </w:r>
    </w:p>
    <w:p w:rsidR="002064DD" w:rsidRDefault="00D56D46" w:rsidP="00D80D2B">
      <w:r>
        <w:t>If you have any interests that might be relevant to the work of the organisation, and which could lead to a real or perceived conflict of interest if you were to be appointed, please provide details in your application. If you have queries about this and would like to discuss further please contact the Public Appointments Team.</w:t>
      </w:r>
    </w:p>
    <w:p w:rsidR="002064DD" w:rsidRDefault="00D56D46" w:rsidP="00D80D2B">
      <w:r>
        <w:t>Given the nature of public appointments, it is important that those appointed as members of public bodies maintain the confidence of Parliament and the public. If there are any issues in your personal or professional history that could, if you were appointed, be misconstrued, cause embarrassment, or cause public confidence in the appointment to be jeopardised, it is important that you bring them to the attention of the Advisory Assessment Panel and provide details of the issue(s) in your application. In considering whether you wish to declare any issues, you should also reflect on any public statements you have made, including through social media.</w:t>
      </w:r>
    </w:p>
    <w:p w:rsidR="002064DD" w:rsidRDefault="00D56D46" w:rsidP="00D80D2B">
      <w:r>
        <w:t>As part of our due diligence checks we will consider anything in the public domain related to your conduct or professional capacity. This will include us undertaking searches of previous public statements and social media, blogs or any other publicly available information. This information may be made available to the Advisory Assessment Panel and they may wish to explore issues with you should you be invited to interview. The information may also be shared with ministers and the Cabinet Office.</w:t>
      </w:r>
    </w:p>
    <w:p w:rsidR="002064DD" w:rsidRDefault="00D56D46" w:rsidP="00D80D2B">
      <w:pPr>
        <w:pStyle w:val="Heading1"/>
        <w:rPr>
          <w:rFonts w:eastAsia="Arial"/>
        </w:rPr>
      </w:pPr>
      <w:r>
        <w:rPr>
          <w:rFonts w:eastAsia="Arial"/>
        </w:rPr>
        <w:t>Expenses</w:t>
      </w:r>
    </w:p>
    <w:p w:rsidR="002064DD" w:rsidRDefault="00D56D46" w:rsidP="00D80D2B">
      <w:r>
        <w:t>Expenses incurred by external candidates during the recruitment process will not be reimbursed, except in exceptional circumstances, and only when agreed in advance.</w:t>
      </w:r>
    </w:p>
    <w:p w:rsidR="002064DD" w:rsidRDefault="002064DD" w:rsidP="00D80D2B"/>
    <w:p w:rsidR="002064DD" w:rsidRDefault="002064DD" w:rsidP="00D80D2B"/>
    <w:p w:rsidR="002064DD" w:rsidRDefault="002064DD" w:rsidP="00D80D2B"/>
    <w:p w:rsidR="002064DD" w:rsidRDefault="002064DD" w:rsidP="00D80D2B"/>
    <w:p w:rsidR="002064DD" w:rsidRDefault="002064DD" w:rsidP="00D80D2B"/>
    <w:p w:rsidR="002064DD" w:rsidRDefault="002064DD" w:rsidP="00D80D2B"/>
    <w:p w:rsidR="002064DD" w:rsidRDefault="002064DD" w:rsidP="00D80D2B"/>
    <w:p w:rsidR="002064DD" w:rsidRDefault="002064DD" w:rsidP="00D80D2B"/>
    <w:sectPr w:rsidR="002064DD" w:rsidSect="00C01ABF">
      <w:headerReference w:type="even" r:id="rId17"/>
      <w:headerReference w:type="default" r:id="rId18"/>
      <w:footerReference w:type="even" r:id="rId19"/>
      <w:footerReference w:type="default" r:id="rId20"/>
      <w:headerReference w:type="first" r:id="rId21"/>
      <w:footerReference w:type="first" r:id="rId22"/>
      <w:pgSz w:w="11906" w:h="16838"/>
      <w:pgMar w:top="1440" w:right="1800" w:bottom="1440" w:left="1800" w:header="708" w:footer="708" w:gutter="0"/>
      <w:pgBorders w:offsetFrom="page">
        <w:top w:val="dashed" w:sz="4" w:space="24" w:color="E32D91" w:themeColor="accent1"/>
        <w:left w:val="dashed" w:sz="4" w:space="24" w:color="E32D91" w:themeColor="accent1"/>
        <w:bottom w:val="dashed" w:sz="4" w:space="24" w:color="E32D91" w:themeColor="accent1"/>
        <w:right w:val="dashed" w:sz="4" w:space="24" w:color="E32D91" w:themeColor="accent1"/>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4B8E" w:rsidRDefault="00EF4B8E" w:rsidP="00D80D2B">
      <w:r>
        <w:separator/>
      </w:r>
    </w:p>
  </w:endnote>
  <w:endnote w:type="continuationSeparator" w:id="0">
    <w:p w:rsidR="00EF4B8E" w:rsidRDefault="00EF4B8E" w:rsidP="00D80D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0D2B" w:rsidRDefault="00D80D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64DD" w:rsidRDefault="00D56D46" w:rsidP="00C01ABF">
    <w:pPr>
      <w:jc w:val="center"/>
    </w:pPr>
    <w:r>
      <w:fldChar w:fldCharType="begin"/>
    </w:r>
    <w:r>
      <w:instrText>PAGE</w:instrText>
    </w:r>
    <w:r>
      <w:fldChar w:fldCharType="separate"/>
    </w:r>
    <w:r w:rsidR="00D80D2B">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64DD" w:rsidRDefault="002064DD" w:rsidP="00D80D2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4B8E" w:rsidRDefault="00EF4B8E" w:rsidP="00D80D2B">
      <w:r>
        <w:separator/>
      </w:r>
    </w:p>
  </w:footnote>
  <w:footnote w:type="continuationSeparator" w:id="0">
    <w:p w:rsidR="00EF4B8E" w:rsidRDefault="00EF4B8E" w:rsidP="00D80D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0D2B" w:rsidRDefault="00D80D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64DD" w:rsidRDefault="002064DD" w:rsidP="00D80D2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64DD" w:rsidRDefault="002064DD" w:rsidP="00D80D2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77AEC"/>
    <w:multiLevelType w:val="hybridMultilevel"/>
    <w:tmpl w:val="F0E655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0C1E0E"/>
    <w:multiLevelType w:val="multilevel"/>
    <w:tmpl w:val="650E29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2CB208F"/>
    <w:multiLevelType w:val="multilevel"/>
    <w:tmpl w:val="97C01C1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18996D53"/>
    <w:multiLevelType w:val="multilevel"/>
    <w:tmpl w:val="8B30331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27912611"/>
    <w:multiLevelType w:val="multilevel"/>
    <w:tmpl w:val="15B4D83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28283FE0"/>
    <w:multiLevelType w:val="multilevel"/>
    <w:tmpl w:val="755479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D821A33"/>
    <w:multiLevelType w:val="multilevel"/>
    <w:tmpl w:val="7F381C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5B519D8"/>
    <w:multiLevelType w:val="multilevel"/>
    <w:tmpl w:val="34005B3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67376B57"/>
    <w:multiLevelType w:val="multilevel"/>
    <w:tmpl w:val="83083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BF84EA8"/>
    <w:multiLevelType w:val="multilevel"/>
    <w:tmpl w:val="8B8CDBB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7"/>
  </w:num>
  <w:num w:numId="2">
    <w:abstractNumId w:val="4"/>
  </w:num>
  <w:num w:numId="3">
    <w:abstractNumId w:val="1"/>
  </w:num>
  <w:num w:numId="4">
    <w:abstractNumId w:val="5"/>
  </w:num>
  <w:num w:numId="5">
    <w:abstractNumId w:val="8"/>
  </w:num>
  <w:num w:numId="6">
    <w:abstractNumId w:val="9"/>
  </w:num>
  <w:num w:numId="7">
    <w:abstractNumId w:val="6"/>
  </w:num>
  <w:num w:numId="8">
    <w:abstractNumId w:val="3"/>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64DD"/>
    <w:rsid w:val="00004FC1"/>
    <w:rsid w:val="002064DD"/>
    <w:rsid w:val="0022477D"/>
    <w:rsid w:val="0055304A"/>
    <w:rsid w:val="00B373E5"/>
    <w:rsid w:val="00C01ABF"/>
    <w:rsid w:val="00D56D46"/>
    <w:rsid w:val="00D80D2B"/>
    <w:rsid w:val="00EF4B8E"/>
    <w:rsid w:val="00FA1C90"/>
    <w:rsid w:val="00FA5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68381"/>
  <w15:docId w15:val="{57584968-5AD2-4644-8890-AA0EF2CB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GB"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0D2B"/>
    <w:rPr>
      <w:rFonts w:ascii="Arial" w:eastAsia="Arial" w:hAnsi="Arial" w:cs="Arial"/>
      <w:sz w:val="24"/>
      <w:szCs w:val="24"/>
    </w:rPr>
  </w:style>
  <w:style w:type="paragraph" w:styleId="Heading1">
    <w:name w:val="heading 1"/>
    <w:basedOn w:val="Normal"/>
    <w:next w:val="Normal"/>
    <w:link w:val="Heading1Char"/>
    <w:uiPriority w:val="9"/>
    <w:qFormat/>
    <w:rsid w:val="00D80D2B"/>
    <w:pPr>
      <w:keepNext/>
      <w:keepLines/>
      <w:spacing w:before="320" w:after="0" w:line="240" w:lineRule="auto"/>
      <w:outlineLvl w:val="0"/>
    </w:pPr>
    <w:rPr>
      <w:rFonts w:asciiTheme="majorHAnsi" w:eastAsiaTheme="majorEastAsia" w:hAnsiTheme="majorHAnsi" w:cstheme="majorBidi"/>
      <w:color w:val="B3186D" w:themeColor="accent1" w:themeShade="BF"/>
      <w:sz w:val="32"/>
      <w:szCs w:val="32"/>
    </w:rPr>
  </w:style>
  <w:style w:type="paragraph" w:styleId="Heading2">
    <w:name w:val="heading 2"/>
    <w:basedOn w:val="Normal"/>
    <w:next w:val="Normal"/>
    <w:link w:val="Heading2Char"/>
    <w:uiPriority w:val="9"/>
    <w:unhideWhenUsed/>
    <w:qFormat/>
    <w:rsid w:val="00D80D2B"/>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D80D2B"/>
    <w:pPr>
      <w:keepNext/>
      <w:keepLines/>
      <w:spacing w:before="40" w:after="0" w:line="240" w:lineRule="auto"/>
      <w:outlineLvl w:val="2"/>
    </w:pPr>
    <w:rPr>
      <w:b/>
      <w:color w:val="454551" w:themeColor="text2"/>
    </w:rPr>
  </w:style>
  <w:style w:type="paragraph" w:styleId="Heading4">
    <w:name w:val="heading 4"/>
    <w:basedOn w:val="Normal"/>
    <w:next w:val="Normal"/>
    <w:link w:val="Heading4Char"/>
    <w:uiPriority w:val="9"/>
    <w:semiHidden/>
    <w:unhideWhenUsed/>
    <w:qFormat/>
    <w:rsid w:val="00D80D2B"/>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D80D2B"/>
    <w:pPr>
      <w:keepNext/>
      <w:keepLines/>
      <w:spacing w:before="40" w:after="0"/>
      <w:outlineLvl w:val="4"/>
    </w:pPr>
    <w:rPr>
      <w:rFonts w:asciiTheme="majorHAnsi" w:eastAsiaTheme="majorEastAsia" w:hAnsiTheme="majorHAnsi" w:cstheme="majorBidi"/>
      <w:color w:val="454551" w:themeColor="text2"/>
      <w:sz w:val="22"/>
      <w:szCs w:val="22"/>
    </w:rPr>
  </w:style>
  <w:style w:type="paragraph" w:styleId="Heading6">
    <w:name w:val="heading 6"/>
    <w:basedOn w:val="Normal"/>
    <w:next w:val="Normal"/>
    <w:link w:val="Heading6Char"/>
    <w:uiPriority w:val="9"/>
    <w:semiHidden/>
    <w:unhideWhenUsed/>
    <w:qFormat/>
    <w:rsid w:val="00D80D2B"/>
    <w:pPr>
      <w:keepNext/>
      <w:keepLines/>
      <w:spacing w:before="40" w:after="0"/>
      <w:outlineLvl w:val="5"/>
    </w:pPr>
    <w:rPr>
      <w:rFonts w:asciiTheme="majorHAnsi" w:eastAsiaTheme="majorEastAsia" w:hAnsiTheme="majorHAnsi" w:cstheme="majorBidi"/>
      <w:i/>
      <w:iCs/>
      <w:color w:val="454551" w:themeColor="text2"/>
      <w:sz w:val="21"/>
      <w:szCs w:val="21"/>
    </w:rPr>
  </w:style>
  <w:style w:type="paragraph" w:styleId="Heading7">
    <w:name w:val="heading 7"/>
    <w:basedOn w:val="Normal"/>
    <w:next w:val="Normal"/>
    <w:link w:val="Heading7Char"/>
    <w:uiPriority w:val="9"/>
    <w:semiHidden/>
    <w:unhideWhenUsed/>
    <w:qFormat/>
    <w:rsid w:val="00D80D2B"/>
    <w:pPr>
      <w:keepNext/>
      <w:keepLines/>
      <w:spacing w:before="40" w:after="0"/>
      <w:outlineLvl w:val="6"/>
    </w:pPr>
    <w:rPr>
      <w:rFonts w:asciiTheme="majorHAnsi" w:eastAsiaTheme="majorEastAsia" w:hAnsiTheme="majorHAnsi" w:cstheme="majorBidi"/>
      <w:i/>
      <w:iCs/>
      <w:color w:val="781049" w:themeColor="accent1" w:themeShade="80"/>
      <w:sz w:val="21"/>
      <w:szCs w:val="21"/>
    </w:rPr>
  </w:style>
  <w:style w:type="paragraph" w:styleId="Heading8">
    <w:name w:val="heading 8"/>
    <w:basedOn w:val="Normal"/>
    <w:next w:val="Normal"/>
    <w:link w:val="Heading8Char"/>
    <w:uiPriority w:val="9"/>
    <w:semiHidden/>
    <w:unhideWhenUsed/>
    <w:qFormat/>
    <w:rsid w:val="00D80D2B"/>
    <w:pPr>
      <w:keepNext/>
      <w:keepLines/>
      <w:spacing w:before="40" w:after="0"/>
      <w:outlineLvl w:val="7"/>
    </w:pPr>
    <w:rPr>
      <w:rFonts w:asciiTheme="majorHAnsi" w:eastAsiaTheme="majorEastAsia" w:hAnsiTheme="majorHAnsi" w:cstheme="majorBidi"/>
      <w:b/>
      <w:bCs/>
      <w:color w:val="454551" w:themeColor="text2"/>
    </w:rPr>
  </w:style>
  <w:style w:type="paragraph" w:styleId="Heading9">
    <w:name w:val="heading 9"/>
    <w:basedOn w:val="Normal"/>
    <w:next w:val="Normal"/>
    <w:link w:val="Heading9Char"/>
    <w:uiPriority w:val="9"/>
    <w:semiHidden/>
    <w:unhideWhenUsed/>
    <w:qFormat/>
    <w:rsid w:val="00D80D2B"/>
    <w:pPr>
      <w:keepNext/>
      <w:keepLines/>
      <w:spacing w:before="40" w:after="0"/>
      <w:outlineLvl w:val="8"/>
    </w:pPr>
    <w:rPr>
      <w:rFonts w:asciiTheme="majorHAnsi" w:eastAsiaTheme="majorEastAsia" w:hAnsiTheme="majorHAnsi" w:cstheme="majorBidi"/>
      <w:b/>
      <w:bCs/>
      <w:i/>
      <w:iCs/>
      <w:color w:val="454551"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80D2B"/>
    <w:pPr>
      <w:spacing w:after="0" w:line="240" w:lineRule="auto"/>
      <w:contextualSpacing/>
    </w:pPr>
    <w:rPr>
      <w:rFonts w:asciiTheme="majorHAnsi" w:eastAsiaTheme="majorEastAsia" w:hAnsiTheme="majorHAnsi" w:cstheme="majorBidi"/>
      <w:color w:val="E32D91" w:themeColor="accent1"/>
      <w:spacing w:val="-10"/>
      <w:sz w:val="56"/>
      <w:szCs w:val="56"/>
    </w:rPr>
  </w:style>
  <w:style w:type="paragraph" w:styleId="Subtitle">
    <w:name w:val="Subtitle"/>
    <w:basedOn w:val="Normal"/>
    <w:next w:val="Normal"/>
    <w:link w:val="SubtitleChar"/>
    <w:uiPriority w:val="11"/>
    <w:qFormat/>
    <w:rsid w:val="00D80D2B"/>
    <w:pPr>
      <w:numPr>
        <w:ilvl w:val="1"/>
      </w:numPr>
      <w:spacing w:line="240" w:lineRule="auto"/>
    </w:pPr>
    <w:rPr>
      <w:rFonts w:asciiTheme="majorHAnsi" w:eastAsiaTheme="majorEastAsia" w:hAnsiTheme="majorHAnsi" w:cstheme="majorBidi"/>
    </w:rPr>
  </w:style>
  <w:style w:type="character" w:customStyle="1" w:styleId="Heading1Char">
    <w:name w:val="Heading 1 Char"/>
    <w:basedOn w:val="DefaultParagraphFont"/>
    <w:link w:val="Heading1"/>
    <w:uiPriority w:val="9"/>
    <w:rsid w:val="00D80D2B"/>
    <w:rPr>
      <w:rFonts w:asciiTheme="majorHAnsi" w:eastAsiaTheme="majorEastAsia" w:hAnsiTheme="majorHAnsi" w:cstheme="majorBidi"/>
      <w:color w:val="B3186D" w:themeColor="accent1" w:themeShade="BF"/>
      <w:sz w:val="32"/>
      <w:szCs w:val="32"/>
    </w:rPr>
  </w:style>
  <w:style w:type="character" w:customStyle="1" w:styleId="Heading2Char">
    <w:name w:val="Heading 2 Char"/>
    <w:basedOn w:val="DefaultParagraphFont"/>
    <w:link w:val="Heading2"/>
    <w:uiPriority w:val="9"/>
    <w:rsid w:val="00D80D2B"/>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D80D2B"/>
    <w:rPr>
      <w:rFonts w:ascii="Arial" w:eastAsia="Arial" w:hAnsi="Arial" w:cs="Arial"/>
      <w:b/>
      <w:color w:val="454551" w:themeColor="text2"/>
      <w:sz w:val="24"/>
      <w:szCs w:val="24"/>
    </w:rPr>
  </w:style>
  <w:style w:type="character" w:customStyle="1" w:styleId="Heading4Char">
    <w:name w:val="Heading 4 Char"/>
    <w:basedOn w:val="DefaultParagraphFont"/>
    <w:link w:val="Heading4"/>
    <w:uiPriority w:val="9"/>
    <w:semiHidden/>
    <w:rsid w:val="00D80D2B"/>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D80D2B"/>
    <w:rPr>
      <w:rFonts w:asciiTheme="majorHAnsi" w:eastAsiaTheme="majorEastAsia" w:hAnsiTheme="majorHAnsi" w:cstheme="majorBidi"/>
      <w:color w:val="454551" w:themeColor="text2"/>
      <w:sz w:val="22"/>
      <w:szCs w:val="22"/>
    </w:rPr>
  </w:style>
  <w:style w:type="character" w:customStyle="1" w:styleId="Heading6Char">
    <w:name w:val="Heading 6 Char"/>
    <w:basedOn w:val="DefaultParagraphFont"/>
    <w:link w:val="Heading6"/>
    <w:uiPriority w:val="9"/>
    <w:semiHidden/>
    <w:rsid w:val="00D80D2B"/>
    <w:rPr>
      <w:rFonts w:asciiTheme="majorHAnsi" w:eastAsiaTheme="majorEastAsia" w:hAnsiTheme="majorHAnsi" w:cstheme="majorBidi"/>
      <w:i/>
      <w:iCs/>
      <w:color w:val="454551" w:themeColor="text2"/>
      <w:sz w:val="21"/>
      <w:szCs w:val="21"/>
    </w:rPr>
  </w:style>
  <w:style w:type="character" w:customStyle="1" w:styleId="Heading7Char">
    <w:name w:val="Heading 7 Char"/>
    <w:basedOn w:val="DefaultParagraphFont"/>
    <w:link w:val="Heading7"/>
    <w:uiPriority w:val="9"/>
    <w:semiHidden/>
    <w:rsid w:val="00D80D2B"/>
    <w:rPr>
      <w:rFonts w:asciiTheme="majorHAnsi" w:eastAsiaTheme="majorEastAsia" w:hAnsiTheme="majorHAnsi" w:cstheme="majorBidi"/>
      <w:i/>
      <w:iCs/>
      <w:color w:val="781049" w:themeColor="accent1" w:themeShade="80"/>
      <w:sz w:val="21"/>
      <w:szCs w:val="21"/>
    </w:rPr>
  </w:style>
  <w:style w:type="character" w:customStyle="1" w:styleId="Heading8Char">
    <w:name w:val="Heading 8 Char"/>
    <w:basedOn w:val="DefaultParagraphFont"/>
    <w:link w:val="Heading8"/>
    <w:uiPriority w:val="9"/>
    <w:semiHidden/>
    <w:rsid w:val="00D80D2B"/>
    <w:rPr>
      <w:rFonts w:asciiTheme="majorHAnsi" w:eastAsiaTheme="majorEastAsia" w:hAnsiTheme="majorHAnsi" w:cstheme="majorBidi"/>
      <w:b/>
      <w:bCs/>
      <w:color w:val="454551" w:themeColor="text2"/>
    </w:rPr>
  </w:style>
  <w:style w:type="character" w:customStyle="1" w:styleId="Heading9Char">
    <w:name w:val="Heading 9 Char"/>
    <w:basedOn w:val="DefaultParagraphFont"/>
    <w:link w:val="Heading9"/>
    <w:uiPriority w:val="9"/>
    <w:semiHidden/>
    <w:rsid w:val="00D80D2B"/>
    <w:rPr>
      <w:rFonts w:asciiTheme="majorHAnsi" w:eastAsiaTheme="majorEastAsia" w:hAnsiTheme="majorHAnsi" w:cstheme="majorBidi"/>
      <w:b/>
      <w:bCs/>
      <w:i/>
      <w:iCs/>
      <w:color w:val="454551" w:themeColor="text2"/>
    </w:rPr>
  </w:style>
  <w:style w:type="paragraph" w:styleId="Caption">
    <w:name w:val="caption"/>
    <w:basedOn w:val="Normal"/>
    <w:next w:val="Normal"/>
    <w:uiPriority w:val="35"/>
    <w:semiHidden/>
    <w:unhideWhenUsed/>
    <w:qFormat/>
    <w:rsid w:val="00D80D2B"/>
    <w:pPr>
      <w:spacing w:line="240" w:lineRule="auto"/>
    </w:pPr>
    <w:rPr>
      <w:b/>
      <w:bCs/>
      <w:smallCaps/>
      <w:color w:val="595959" w:themeColor="text1" w:themeTint="A6"/>
      <w:spacing w:val="6"/>
    </w:rPr>
  </w:style>
  <w:style w:type="character" w:customStyle="1" w:styleId="TitleChar">
    <w:name w:val="Title Char"/>
    <w:basedOn w:val="DefaultParagraphFont"/>
    <w:link w:val="Title"/>
    <w:uiPriority w:val="10"/>
    <w:rsid w:val="00D80D2B"/>
    <w:rPr>
      <w:rFonts w:asciiTheme="majorHAnsi" w:eastAsiaTheme="majorEastAsia" w:hAnsiTheme="majorHAnsi" w:cstheme="majorBidi"/>
      <w:color w:val="E32D91" w:themeColor="accent1"/>
      <w:spacing w:val="-10"/>
      <w:sz w:val="56"/>
      <w:szCs w:val="56"/>
    </w:rPr>
  </w:style>
  <w:style w:type="character" w:customStyle="1" w:styleId="SubtitleChar">
    <w:name w:val="Subtitle Char"/>
    <w:basedOn w:val="DefaultParagraphFont"/>
    <w:link w:val="Subtitle"/>
    <w:uiPriority w:val="11"/>
    <w:rsid w:val="00D80D2B"/>
    <w:rPr>
      <w:rFonts w:asciiTheme="majorHAnsi" w:eastAsiaTheme="majorEastAsia" w:hAnsiTheme="majorHAnsi" w:cstheme="majorBidi"/>
      <w:sz w:val="24"/>
      <w:szCs w:val="24"/>
    </w:rPr>
  </w:style>
  <w:style w:type="character" w:styleId="Strong">
    <w:name w:val="Strong"/>
    <w:basedOn w:val="DefaultParagraphFont"/>
    <w:uiPriority w:val="22"/>
    <w:qFormat/>
    <w:rsid w:val="00D80D2B"/>
    <w:rPr>
      <w:b/>
      <w:bCs/>
    </w:rPr>
  </w:style>
  <w:style w:type="character" w:styleId="Emphasis">
    <w:name w:val="Emphasis"/>
    <w:basedOn w:val="DefaultParagraphFont"/>
    <w:uiPriority w:val="20"/>
    <w:qFormat/>
    <w:rsid w:val="00D80D2B"/>
    <w:rPr>
      <w:i/>
      <w:iCs/>
    </w:rPr>
  </w:style>
  <w:style w:type="paragraph" w:styleId="NoSpacing">
    <w:name w:val="No Spacing"/>
    <w:uiPriority w:val="1"/>
    <w:qFormat/>
    <w:rsid w:val="00D80D2B"/>
    <w:pPr>
      <w:spacing w:after="0" w:line="240" w:lineRule="auto"/>
    </w:pPr>
  </w:style>
  <w:style w:type="paragraph" w:styleId="Quote">
    <w:name w:val="Quote"/>
    <w:basedOn w:val="Normal"/>
    <w:next w:val="Normal"/>
    <w:link w:val="QuoteChar"/>
    <w:uiPriority w:val="29"/>
    <w:qFormat/>
    <w:rsid w:val="00D80D2B"/>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D80D2B"/>
    <w:rPr>
      <w:i/>
      <w:iCs/>
      <w:color w:val="404040" w:themeColor="text1" w:themeTint="BF"/>
    </w:rPr>
  </w:style>
  <w:style w:type="paragraph" w:styleId="IntenseQuote">
    <w:name w:val="Intense Quote"/>
    <w:basedOn w:val="Normal"/>
    <w:next w:val="Normal"/>
    <w:link w:val="IntenseQuoteChar"/>
    <w:uiPriority w:val="30"/>
    <w:qFormat/>
    <w:rsid w:val="00D80D2B"/>
    <w:pPr>
      <w:pBdr>
        <w:left w:val="single" w:sz="18" w:space="12" w:color="E32D91" w:themeColor="accent1"/>
      </w:pBdr>
      <w:spacing w:before="100" w:beforeAutospacing="1" w:line="300" w:lineRule="auto"/>
      <w:ind w:left="1224" w:right="1224"/>
    </w:pPr>
    <w:rPr>
      <w:rFonts w:asciiTheme="majorHAnsi" w:eastAsiaTheme="majorEastAsia" w:hAnsiTheme="majorHAnsi" w:cstheme="majorBidi"/>
      <w:color w:val="E32D91" w:themeColor="accent1"/>
      <w:sz w:val="28"/>
      <w:szCs w:val="28"/>
    </w:rPr>
  </w:style>
  <w:style w:type="character" w:customStyle="1" w:styleId="IntenseQuoteChar">
    <w:name w:val="Intense Quote Char"/>
    <w:basedOn w:val="DefaultParagraphFont"/>
    <w:link w:val="IntenseQuote"/>
    <w:uiPriority w:val="30"/>
    <w:rsid w:val="00D80D2B"/>
    <w:rPr>
      <w:rFonts w:asciiTheme="majorHAnsi" w:eastAsiaTheme="majorEastAsia" w:hAnsiTheme="majorHAnsi" w:cstheme="majorBidi"/>
      <w:color w:val="E32D91" w:themeColor="accent1"/>
      <w:sz w:val="28"/>
      <w:szCs w:val="28"/>
    </w:rPr>
  </w:style>
  <w:style w:type="character" w:styleId="SubtleEmphasis">
    <w:name w:val="Subtle Emphasis"/>
    <w:basedOn w:val="DefaultParagraphFont"/>
    <w:uiPriority w:val="19"/>
    <w:qFormat/>
    <w:rsid w:val="00D80D2B"/>
    <w:rPr>
      <w:i/>
      <w:iCs/>
      <w:color w:val="404040" w:themeColor="text1" w:themeTint="BF"/>
    </w:rPr>
  </w:style>
  <w:style w:type="character" w:styleId="IntenseEmphasis">
    <w:name w:val="Intense Emphasis"/>
    <w:basedOn w:val="DefaultParagraphFont"/>
    <w:uiPriority w:val="21"/>
    <w:qFormat/>
    <w:rsid w:val="00D80D2B"/>
    <w:rPr>
      <w:b/>
      <w:bCs/>
      <w:i/>
      <w:iCs/>
    </w:rPr>
  </w:style>
  <w:style w:type="character" w:styleId="SubtleReference">
    <w:name w:val="Subtle Reference"/>
    <w:basedOn w:val="DefaultParagraphFont"/>
    <w:uiPriority w:val="31"/>
    <w:qFormat/>
    <w:rsid w:val="00D80D2B"/>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80D2B"/>
    <w:rPr>
      <w:b/>
      <w:bCs/>
      <w:smallCaps/>
      <w:spacing w:val="5"/>
      <w:u w:val="single"/>
    </w:rPr>
  </w:style>
  <w:style w:type="character" w:styleId="BookTitle">
    <w:name w:val="Book Title"/>
    <w:basedOn w:val="DefaultParagraphFont"/>
    <w:uiPriority w:val="33"/>
    <w:qFormat/>
    <w:rsid w:val="00D80D2B"/>
    <w:rPr>
      <w:b/>
      <w:bCs/>
      <w:smallCaps/>
    </w:rPr>
  </w:style>
  <w:style w:type="paragraph" w:styleId="TOCHeading">
    <w:name w:val="TOC Heading"/>
    <w:basedOn w:val="Heading1"/>
    <w:next w:val="Normal"/>
    <w:uiPriority w:val="39"/>
    <w:semiHidden/>
    <w:unhideWhenUsed/>
    <w:qFormat/>
    <w:rsid w:val="00D80D2B"/>
    <w:pPr>
      <w:outlineLvl w:val="9"/>
    </w:pPr>
  </w:style>
  <w:style w:type="paragraph" w:styleId="ListParagraph">
    <w:name w:val="List Paragraph"/>
    <w:basedOn w:val="Normal"/>
    <w:uiPriority w:val="34"/>
    <w:qFormat/>
    <w:rsid w:val="00D80D2B"/>
    <w:pPr>
      <w:ind w:left="720"/>
      <w:contextualSpacing/>
    </w:pPr>
  </w:style>
  <w:style w:type="paragraph" w:styleId="Header">
    <w:name w:val="header"/>
    <w:basedOn w:val="Normal"/>
    <w:link w:val="HeaderChar"/>
    <w:uiPriority w:val="99"/>
    <w:unhideWhenUsed/>
    <w:rsid w:val="00D80D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0D2B"/>
    <w:rPr>
      <w:rFonts w:ascii="Arial" w:eastAsia="Arial" w:hAnsi="Arial" w:cs="Arial"/>
      <w:sz w:val="24"/>
      <w:szCs w:val="24"/>
    </w:rPr>
  </w:style>
  <w:style w:type="paragraph" w:styleId="Footer">
    <w:name w:val="footer"/>
    <w:basedOn w:val="Normal"/>
    <w:link w:val="FooterChar"/>
    <w:uiPriority w:val="99"/>
    <w:unhideWhenUsed/>
    <w:rsid w:val="00D80D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0D2B"/>
    <w:rPr>
      <w:rFonts w:ascii="Arial" w:eastAsia="Arial" w:hAnsi="Arial" w:cs="Arial"/>
      <w:sz w:val="24"/>
      <w:szCs w:val="24"/>
    </w:rPr>
  </w:style>
  <w:style w:type="character" w:styleId="Hyperlink">
    <w:name w:val="Hyperlink"/>
    <w:basedOn w:val="DefaultParagraphFont"/>
    <w:uiPriority w:val="99"/>
    <w:unhideWhenUsed/>
    <w:rsid w:val="00004FC1"/>
    <w:rPr>
      <w:color w:val="6B9F25" w:themeColor="hyperlink"/>
      <w:u w:val="single"/>
    </w:rPr>
  </w:style>
  <w:style w:type="character" w:styleId="UnresolvedMention">
    <w:name w:val="Unresolved Mention"/>
    <w:basedOn w:val="DefaultParagraphFont"/>
    <w:uiPriority w:val="99"/>
    <w:semiHidden/>
    <w:unhideWhenUsed/>
    <w:rsid w:val="00004F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hchild@gamblingcommission.gov.uk"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png"/><Relationship Id="rId12" Type="http://schemas.openxmlformats.org/officeDocument/2006/relationships/hyperlink" Target="mailto:publicappointments@dcms.gov.uk"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gov.uk/government/publications/public-bodies-non-executive-director-principles/12-principles-of-governance-for-all-public-body-neds"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fiona.darcy@dcms.gov.uk"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assets.publishing.service.gov.uk/government/uploads/system/uploads/attachment_data/file/578498/governance_code_on_public_appointments_16_12_2016.pdf" TargetMode="External"/><Relationship Id="rId23" Type="http://schemas.openxmlformats.org/officeDocument/2006/relationships/fontTable" Target="fontTable.xml"/><Relationship Id="rId10" Type="http://schemas.openxmlformats.org/officeDocument/2006/relationships/hyperlink" Target="https://docs.google.com/forms/d/e/1FAIpQLScu6MmcFOdeQ42SOJpwNaixbLMMtME1sl_zKeF-O6uTPyON1g/viewform?usp=sf_link"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amblingcommission.gov.uk/about-us/guide/our-strategy-for-the-next-three-years" TargetMode="External"/><Relationship Id="rId14" Type="http://schemas.openxmlformats.org/officeDocument/2006/relationships/hyperlink" Target="mailto:publicappointments@culture.gov.uk"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9</Pages>
  <Words>2388</Words>
  <Characters>13618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DCMS</Company>
  <LinksUpToDate>false</LinksUpToDate>
  <CharactersWithSpaces>15975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Fiona Darcy</dc:creator>
  <cp:lastModifiedBy>Fiona Darcy</cp:lastModifiedBy>
  <cp:revision>6</cp:revision>
  <dcterms:created xsi:type="dcterms:W3CDTF">2023-01-16T14:15:00Z</dcterms:created>
  <dcterms:modified xsi:type="dcterms:W3CDTF">2023-02-13T15:57:00Z</dcterms:modified>
</cp:coreProperties>
</file>